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A76FF" w:rsidRPr="0001068E" w:rsidRDefault="00711E44" w:rsidP="0001068E">
      <w:pPr>
        <w:pStyle w:val="berschrift1"/>
        <w:pBdr>
          <w:bottom w:val="single" w:sz="4" w:space="1" w:color="auto"/>
        </w:pBdr>
        <w:spacing w:line="360" w:lineRule="auto"/>
        <w:rPr>
          <w:rFonts w:ascii="Arial" w:hAnsi="Arial" w:cs="Arial"/>
        </w:rPr>
      </w:pPr>
      <w:bookmarkStart w:id="0" w:name="_GoBack"/>
      <w:r w:rsidRPr="0001068E">
        <w:rPr>
          <w:rFonts w:ascii="Arial" w:hAnsi="Arial" w:cs="Arial"/>
        </w:rPr>
        <w:t>Vorurteil 2: Selbstbestimmt Leben ist für einige Behinderte nicht möglich. Wir werden immer Heime brauchen</w:t>
      </w:r>
    </w:p>
    <w:p w:rsidR="005E7D09" w:rsidRPr="0001068E" w:rsidRDefault="005E7D09" w:rsidP="0001068E">
      <w:pPr>
        <w:spacing w:line="360" w:lineRule="auto"/>
        <w:rPr>
          <w:rFonts w:cs="Arial"/>
          <w:b/>
          <w:bCs/>
        </w:rPr>
      </w:pPr>
    </w:p>
    <w:p w:rsidR="00711E44" w:rsidRPr="0001068E" w:rsidRDefault="00711E44" w:rsidP="0001068E">
      <w:pPr>
        <w:spacing w:line="360" w:lineRule="auto"/>
        <w:rPr>
          <w:rFonts w:cs="Arial"/>
        </w:rPr>
      </w:pPr>
      <w:r w:rsidRPr="0001068E">
        <w:rPr>
          <w:rFonts w:cs="Arial"/>
          <w:b/>
          <w:bCs/>
        </w:rPr>
        <w:t xml:space="preserve">Art. 19 UN BRK </w:t>
      </w:r>
    </w:p>
    <w:p w:rsidR="00711E44" w:rsidRPr="0001068E" w:rsidRDefault="00711E44" w:rsidP="0001068E">
      <w:pPr>
        <w:spacing w:line="360" w:lineRule="auto"/>
        <w:rPr>
          <w:rFonts w:cs="Arial"/>
        </w:rPr>
      </w:pPr>
      <w:r w:rsidRPr="0001068E">
        <w:rPr>
          <w:rFonts w:cs="Arial"/>
        </w:rPr>
        <w:t xml:space="preserve">Die Vertragsstaaten dieses Übereinkommens anerkennen das gleiche Recht aller Menschen mit Behinderungen, mit gleichen Wahlmöglichkeiten wie andere Menschen in der Gemeinschaft zu leben, und treffen wirksame und geeignete Maßnahmen, um Menschen mit Behinderungen den vollen Genuss dieses Rechts und ihre volle Einbeziehung in die Gemeinschaft und Teilhabe an der Gemeinschaft zu ermöglichen, indem sie unter anderem gewährleisten, dass </w:t>
      </w:r>
    </w:p>
    <w:p w:rsidR="00711E44" w:rsidRPr="0001068E" w:rsidRDefault="00711E44" w:rsidP="0001068E">
      <w:pPr>
        <w:spacing w:line="360" w:lineRule="auto"/>
        <w:rPr>
          <w:rFonts w:cs="Arial"/>
        </w:rPr>
      </w:pPr>
      <w:r w:rsidRPr="0001068E">
        <w:rPr>
          <w:rFonts w:cs="Arial"/>
          <w:i/>
          <w:iCs/>
        </w:rPr>
        <w:t>a</w:t>
      </w:r>
      <w:r w:rsidRPr="0001068E">
        <w:rPr>
          <w:rFonts w:cs="Arial"/>
        </w:rPr>
        <w:t xml:space="preserve">) Menschen mit Behinderungen gleichberechtigt mit anderen die Möglichkeit haben, ihren Aufenthaltsort zu wählen und zu entscheiden, wo und mit wem sie leben, und nicht verpflichtet sind, in besonderen Wohnformen zu leben; </w:t>
      </w:r>
    </w:p>
    <w:p w:rsidR="00711E44" w:rsidRPr="0001068E" w:rsidRDefault="00711E44" w:rsidP="0001068E">
      <w:pPr>
        <w:spacing w:line="360" w:lineRule="auto"/>
        <w:rPr>
          <w:rFonts w:cs="Arial"/>
        </w:rPr>
      </w:pPr>
      <w:r w:rsidRPr="0001068E">
        <w:rPr>
          <w:rFonts w:cs="Arial"/>
          <w:i/>
          <w:iCs/>
        </w:rPr>
        <w:t>b</w:t>
      </w:r>
      <w:r w:rsidRPr="0001068E">
        <w:rPr>
          <w:rFonts w:cs="Arial"/>
        </w:rPr>
        <w:t xml:space="preserve">) Menschen mit Behinderungen Zugang zu einer Reihe von gemeindenahen Unterstützungsdiensten zu Hause und in Einrichtungen sowie zu sonstigen gemeindenahen Unterstützungsdiensten haben, einschließlich der persönlichen Assistenz, die zur Unterstützung des Lebens in der Gemeinschaft und der Einbeziehung in die Gemeinschaft sowie zur Verhinderung von Isolation und Absonderung von der Gemeinschaft notwendig ist; </w:t>
      </w:r>
    </w:p>
    <w:p w:rsidR="00711E44" w:rsidRPr="0001068E" w:rsidRDefault="00711E44" w:rsidP="0001068E">
      <w:pPr>
        <w:spacing w:line="360" w:lineRule="auto"/>
        <w:rPr>
          <w:rFonts w:cs="Arial"/>
        </w:rPr>
      </w:pPr>
      <w:r w:rsidRPr="0001068E">
        <w:rPr>
          <w:rFonts w:cs="Arial"/>
          <w:i/>
          <w:iCs/>
        </w:rPr>
        <w:t>c</w:t>
      </w:r>
      <w:r w:rsidRPr="0001068E">
        <w:rPr>
          <w:rFonts w:cs="Arial"/>
        </w:rPr>
        <w:t xml:space="preserve">) gemeindenahe Dienstleistungen und Einrichtungen für die Allgemeinheit Menschen mit Behinderungen auf der Grundlage der Gleichberechtigung zur Verfügung stehen und ihren Bedürfnissen Rechnung tragen. </w:t>
      </w:r>
    </w:p>
    <w:p w:rsidR="005E7D09" w:rsidRPr="0001068E" w:rsidRDefault="005E7D09" w:rsidP="0001068E">
      <w:pPr>
        <w:spacing w:line="360" w:lineRule="auto"/>
        <w:rPr>
          <w:rFonts w:cs="Arial"/>
          <w:b/>
          <w:bCs/>
        </w:rPr>
      </w:pPr>
    </w:p>
    <w:p w:rsidR="00711E44" w:rsidRPr="0001068E" w:rsidRDefault="00711E44" w:rsidP="0001068E">
      <w:pPr>
        <w:spacing w:line="360" w:lineRule="auto"/>
        <w:rPr>
          <w:rFonts w:cs="Arial"/>
        </w:rPr>
      </w:pPr>
      <w:r w:rsidRPr="0001068E">
        <w:rPr>
          <w:rFonts w:cs="Arial"/>
          <w:b/>
          <w:bCs/>
        </w:rPr>
        <w:t xml:space="preserve">Allgemeine Bemerkungen Nr. 5 </w:t>
      </w:r>
    </w:p>
    <w:p w:rsidR="00711E44" w:rsidRPr="0001068E" w:rsidRDefault="00711E44" w:rsidP="0030584D">
      <w:pPr>
        <w:spacing w:after="240" w:line="360" w:lineRule="auto"/>
        <w:rPr>
          <w:rFonts w:cs="Arial"/>
        </w:rPr>
      </w:pPr>
      <w:r w:rsidRPr="0001068E">
        <w:rPr>
          <w:rFonts w:cs="Arial"/>
        </w:rPr>
        <w:t xml:space="preserve">Abs. 20: „…Artikel 19 bezieht sich explizit auf alle Menschen mit Behinderungen. Weder die teilweise oder umfassende Einschränkung der rechtlichen Handlungsfähigkeit, noch das benötigte Maß an Unterstützung dürfen als Gründe angeführt werden, um Menschen mit Behinderungen das Recht auf selbstbestimmtes Leben in der Gemeinschaft zu verweigern oder einzuschränken…“. </w:t>
      </w:r>
    </w:p>
    <w:p w:rsidR="00711E44" w:rsidRPr="0001068E" w:rsidRDefault="00711E44" w:rsidP="0030584D">
      <w:pPr>
        <w:spacing w:after="240" w:line="360" w:lineRule="auto"/>
        <w:rPr>
          <w:rFonts w:cs="Arial"/>
        </w:rPr>
      </w:pPr>
      <w:r w:rsidRPr="0001068E">
        <w:rPr>
          <w:rFonts w:cs="Arial"/>
        </w:rPr>
        <w:t>Abs.17: „… Personen mit komplexen Kommunikationsbedarfen, einschließlich derer, die informelle Mittel der Kommunikation nutzen ( Z.b. Kommunikation ohne Stellvertretung durch Gesichtsausdruck, Körperhaltung, Vokalisierung) müssen angemessene Unterstützung erhalten, damit sie ihre Anweisungen, Entscheidungen, Wahl oder Präferenz vermitteln können und diese anerkannt und respektiert werden.“</w:t>
      </w:r>
    </w:p>
    <w:p w:rsidR="00AD47F6" w:rsidRPr="0001068E" w:rsidRDefault="00711E44" w:rsidP="0001068E">
      <w:pPr>
        <w:spacing w:line="360" w:lineRule="auto"/>
        <w:rPr>
          <w:rFonts w:cs="Arial"/>
          <w:b/>
          <w:bCs/>
        </w:rPr>
      </w:pPr>
      <w:r w:rsidRPr="0001068E">
        <w:rPr>
          <w:rFonts w:cs="Arial"/>
        </w:rPr>
        <w:t>Abs. 21</w:t>
      </w:r>
      <w:r w:rsidR="00DB3F04" w:rsidRPr="0001068E">
        <w:rPr>
          <w:rFonts w:cs="Arial"/>
        </w:rPr>
        <w:t>,</w:t>
      </w:r>
      <w:r w:rsidRPr="0001068E">
        <w:rPr>
          <w:rFonts w:cs="Arial"/>
        </w:rPr>
        <w:t xml:space="preserve"> 36</w:t>
      </w:r>
      <w:r w:rsidR="00AD47F6" w:rsidRPr="0001068E">
        <w:rPr>
          <w:rFonts w:cs="Arial"/>
          <w:b/>
          <w:bCs/>
        </w:rPr>
        <w:br w:type="page"/>
      </w:r>
    </w:p>
    <w:p w:rsidR="00711E44" w:rsidRPr="0001068E" w:rsidRDefault="00711E44" w:rsidP="0001068E">
      <w:pPr>
        <w:pStyle w:val="berschrift1"/>
        <w:pBdr>
          <w:bottom w:val="single" w:sz="4" w:space="1" w:color="auto"/>
        </w:pBdr>
        <w:spacing w:line="360" w:lineRule="auto"/>
        <w:rPr>
          <w:rFonts w:ascii="Arial" w:hAnsi="Arial" w:cs="Arial"/>
        </w:rPr>
      </w:pPr>
      <w:r w:rsidRPr="0001068E">
        <w:rPr>
          <w:rFonts w:ascii="Arial" w:hAnsi="Arial" w:cs="Arial"/>
        </w:rPr>
        <w:lastRenderedPageBreak/>
        <w:t>Vorurteil 3: Selbstbestimmt Leben bedeutet, keine Unterstützung durch Leistungserbringer zu brauchen</w:t>
      </w:r>
    </w:p>
    <w:p w:rsidR="00DB3F04" w:rsidRPr="0001068E" w:rsidRDefault="00DB3F04" w:rsidP="0001068E">
      <w:pPr>
        <w:spacing w:line="360" w:lineRule="auto"/>
        <w:rPr>
          <w:rFonts w:cs="Arial"/>
          <w:b/>
          <w:bCs/>
        </w:rPr>
      </w:pPr>
    </w:p>
    <w:p w:rsidR="00711E44" w:rsidRPr="0001068E" w:rsidRDefault="00711E44" w:rsidP="0001068E">
      <w:pPr>
        <w:spacing w:line="360" w:lineRule="auto"/>
        <w:rPr>
          <w:rFonts w:cs="Arial"/>
        </w:rPr>
      </w:pPr>
      <w:r w:rsidRPr="0001068E">
        <w:rPr>
          <w:rFonts w:cs="Arial"/>
          <w:b/>
          <w:bCs/>
        </w:rPr>
        <w:t xml:space="preserve">Art. 19 UN BRK </w:t>
      </w:r>
    </w:p>
    <w:p w:rsidR="00711E44" w:rsidRPr="0001068E" w:rsidRDefault="00711E44" w:rsidP="0001068E">
      <w:pPr>
        <w:spacing w:line="360" w:lineRule="auto"/>
        <w:rPr>
          <w:rFonts w:cs="Arial"/>
        </w:rPr>
      </w:pPr>
      <w:r w:rsidRPr="0001068E">
        <w:rPr>
          <w:rFonts w:cs="Arial"/>
        </w:rPr>
        <w:t xml:space="preserve">Die Vertragsstaaten dieses Übereinkommens anerkennen das gleiche Recht aller Menschen mit Behinderungen, mit gleichen Wahlmöglichkeiten wie andere Menschen in der Gemeinschaft zu leben, und treffen wirksame und geeignete Maßnahmen, um Menschen mit Behinderungen den vollen Genuss dieses Rechts und ihre volle Einbeziehung in die Gemeinschaft und Teilhabe an der Gemeinschaft zu ermöglichen, indem sie unter anderem gewährleisten, dass </w:t>
      </w:r>
    </w:p>
    <w:p w:rsidR="00711E44" w:rsidRPr="0001068E" w:rsidRDefault="00711E44" w:rsidP="0001068E">
      <w:pPr>
        <w:spacing w:line="360" w:lineRule="auto"/>
        <w:rPr>
          <w:rFonts w:cs="Arial"/>
        </w:rPr>
      </w:pPr>
      <w:r w:rsidRPr="0001068E">
        <w:rPr>
          <w:rFonts w:cs="Arial"/>
          <w:i/>
          <w:iCs/>
        </w:rPr>
        <w:t>a</w:t>
      </w:r>
      <w:r w:rsidRPr="0001068E">
        <w:rPr>
          <w:rFonts w:cs="Arial"/>
        </w:rPr>
        <w:t xml:space="preserve">) Menschen mit Behinderungen gleichberechtigt mit anderen die Möglichkeit haben, ihren Aufenthaltsort zu wählen und zu entscheiden, wo und mit wem sie leben, und nicht verpflichtet sind, in besonderen Wohnformen zu leben; </w:t>
      </w:r>
    </w:p>
    <w:p w:rsidR="00711E44" w:rsidRPr="0001068E" w:rsidRDefault="00711E44" w:rsidP="0001068E">
      <w:pPr>
        <w:spacing w:line="360" w:lineRule="auto"/>
        <w:rPr>
          <w:rFonts w:cs="Arial"/>
        </w:rPr>
      </w:pPr>
      <w:r w:rsidRPr="0001068E">
        <w:rPr>
          <w:rFonts w:cs="Arial"/>
          <w:i/>
          <w:iCs/>
        </w:rPr>
        <w:t>b</w:t>
      </w:r>
      <w:r w:rsidRPr="0001068E">
        <w:rPr>
          <w:rFonts w:cs="Arial"/>
        </w:rPr>
        <w:t xml:space="preserve">) Menschen mit Behinderungen Zugang zu einer Reihe von gemeindenahen Unterstützungsdiensten zu Hause und in Einrichtungen sowie zu sonstigen gemeindenahen Unterstützungsdiensten haben, einschließlich der persönlichen Assistenz, die zur Unterstützung des Lebens in der Gemeinschaft und der Einbeziehung in die Gemeinschaft sowie zur Verhinderung von Isolation und Absonderung von der Gemeinschaft notwendig ist; </w:t>
      </w:r>
    </w:p>
    <w:p w:rsidR="00711E44" w:rsidRPr="0001068E" w:rsidRDefault="00711E44" w:rsidP="0001068E">
      <w:pPr>
        <w:spacing w:line="360" w:lineRule="auto"/>
        <w:rPr>
          <w:rFonts w:cs="Arial"/>
        </w:rPr>
      </w:pPr>
      <w:r w:rsidRPr="0001068E">
        <w:rPr>
          <w:rFonts w:cs="Arial"/>
          <w:i/>
          <w:iCs/>
        </w:rPr>
        <w:t>c</w:t>
      </w:r>
      <w:r w:rsidRPr="0001068E">
        <w:rPr>
          <w:rFonts w:cs="Arial"/>
        </w:rPr>
        <w:t xml:space="preserve">) gemeindenahe Dienstleistungen und Einrichtungen für die Allgemeinheit Menschen mit Behinderungen auf der Grundlage der Gleichberechtigung zur Verfügung stehen und ihren Bedürfnissen Rechnung tragen. </w:t>
      </w:r>
    </w:p>
    <w:p w:rsidR="00DB3F04" w:rsidRPr="0001068E" w:rsidRDefault="00DB3F04" w:rsidP="0001068E">
      <w:pPr>
        <w:spacing w:line="360" w:lineRule="auto"/>
        <w:rPr>
          <w:rFonts w:cs="Arial"/>
          <w:b/>
          <w:bCs/>
        </w:rPr>
      </w:pPr>
    </w:p>
    <w:p w:rsidR="00711E44" w:rsidRPr="0001068E" w:rsidRDefault="00711E44" w:rsidP="0001068E">
      <w:pPr>
        <w:spacing w:line="360" w:lineRule="auto"/>
        <w:rPr>
          <w:rFonts w:cs="Arial"/>
        </w:rPr>
      </w:pPr>
      <w:r w:rsidRPr="0001068E">
        <w:rPr>
          <w:rFonts w:cs="Arial"/>
          <w:b/>
          <w:bCs/>
        </w:rPr>
        <w:t xml:space="preserve">Allgemeine Bemerkungen Nr. 5 </w:t>
      </w:r>
    </w:p>
    <w:p w:rsidR="00711E44" w:rsidRPr="0001068E" w:rsidRDefault="00711E44" w:rsidP="0001068E">
      <w:pPr>
        <w:spacing w:line="360" w:lineRule="auto"/>
        <w:rPr>
          <w:rFonts w:cs="Arial"/>
        </w:rPr>
      </w:pPr>
      <w:r w:rsidRPr="0001068E">
        <w:rPr>
          <w:rFonts w:cs="Arial"/>
        </w:rPr>
        <w:t>Abs. 28: „… Individuelle Unterstützungsdienste müssen als ein Recht und nicht als medizinische oder soziale Behandlung oder als Almosen betrachtet werden. Für viele Menschen mit Behinderungen ist der Zugang zu einer breiten Palette an individuellen Unterstützungsdiensten Grundvoraussetzung für ein Leben in der Gemeinschaft. Menschen mit Behinderungen haben das Recht, gemäß ihrem individuellen Bedarf und ihren persönlichen Präferenzen aus Diensten und Dienstleistern auszuwählen und Unterstützungsdienste sollten an individuelle Bedarfe angepasst werden und nicht umgekehrt….“</w:t>
      </w:r>
    </w:p>
    <w:p w:rsidR="00DB3F04" w:rsidRPr="0001068E" w:rsidRDefault="00DB3F04" w:rsidP="0001068E">
      <w:pPr>
        <w:spacing w:line="360" w:lineRule="auto"/>
        <w:rPr>
          <w:rFonts w:cs="Arial"/>
        </w:rPr>
      </w:pPr>
    </w:p>
    <w:p w:rsidR="00711E44" w:rsidRPr="0001068E" w:rsidRDefault="00711E44" w:rsidP="0001068E">
      <w:pPr>
        <w:spacing w:line="360" w:lineRule="auto"/>
        <w:rPr>
          <w:rFonts w:cs="Arial"/>
        </w:rPr>
      </w:pPr>
      <w:r w:rsidRPr="0001068E">
        <w:rPr>
          <w:rFonts w:cs="Arial"/>
        </w:rPr>
        <w:t>Abs. 15,16, 83</w:t>
      </w:r>
    </w:p>
    <w:p w:rsidR="00AD47F6" w:rsidRPr="0001068E" w:rsidRDefault="00AD47F6" w:rsidP="0001068E">
      <w:pPr>
        <w:spacing w:after="200" w:line="360" w:lineRule="auto"/>
        <w:rPr>
          <w:rFonts w:cs="Arial"/>
          <w:b/>
          <w:bCs/>
        </w:rPr>
      </w:pPr>
      <w:r w:rsidRPr="0001068E">
        <w:rPr>
          <w:rFonts w:cs="Arial"/>
          <w:b/>
          <w:bCs/>
        </w:rPr>
        <w:br w:type="page"/>
      </w:r>
    </w:p>
    <w:p w:rsidR="00711E44" w:rsidRPr="0001068E" w:rsidRDefault="00711E44" w:rsidP="0001068E">
      <w:pPr>
        <w:pStyle w:val="berschrift1"/>
        <w:pBdr>
          <w:bottom w:val="single" w:sz="4" w:space="1" w:color="auto"/>
        </w:pBdr>
        <w:spacing w:line="360" w:lineRule="auto"/>
        <w:rPr>
          <w:rFonts w:ascii="Arial" w:hAnsi="Arial" w:cs="Arial"/>
        </w:rPr>
      </w:pPr>
      <w:r w:rsidRPr="0001068E">
        <w:rPr>
          <w:rFonts w:ascii="Arial" w:hAnsi="Arial" w:cs="Arial"/>
        </w:rPr>
        <w:lastRenderedPageBreak/>
        <w:t>Vorurteil 4: Selbstbestimmt Leben führt zur Vereinsamung, weil Behinderte ihre Herkunftsfamilie verlassen und alleine leben müssen</w:t>
      </w:r>
    </w:p>
    <w:p w:rsidR="00DB3F04" w:rsidRPr="0001068E" w:rsidRDefault="00DB3F04" w:rsidP="0001068E">
      <w:pPr>
        <w:spacing w:line="360" w:lineRule="auto"/>
        <w:rPr>
          <w:rFonts w:cs="Arial"/>
          <w:b/>
          <w:bCs/>
        </w:rPr>
      </w:pPr>
    </w:p>
    <w:p w:rsidR="00711E44" w:rsidRPr="0001068E" w:rsidRDefault="00711E44" w:rsidP="0001068E">
      <w:pPr>
        <w:spacing w:line="360" w:lineRule="auto"/>
        <w:rPr>
          <w:rFonts w:cs="Arial"/>
        </w:rPr>
      </w:pPr>
      <w:r w:rsidRPr="0001068E">
        <w:rPr>
          <w:rFonts w:cs="Arial"/>
          <w:b/>
          <w:bCs/>
        </w:rPr>
        <w:t xml:space="preserve">Art. 19 UN BRK </w:t>
      </w:r>
    </w:p>
    <w:p w:rsidR="00711E44" w:rsidRPr="0001068E" w:rsidRDefault="00711E44" w:rsidP="0001068E">
      <w:pPr>
        <w:spacing w:line="360" w:lineRule="auto"/>
        <w:rPr>
          <w:rFonts w:cs="Arial"/>
        </w:rPr>
      </w:pPr>
      <w:r w:rsidRPr="0001068E">
        <w:rPr>
          <w:rFonts w:cs="Arial"/>
        </w:rPr>
        <w:t xml:space="preserve">Die Vertragsstaaten dieses Übereinkommens anerkennen das gleiche Recht aller Menschen mit Behinderungen, mit gleichen Wahlmöglichkeiten wie andere Menschen in der Gemeinschaft zu leben, und treffen wirksame und geeignete Maßnahmen, um Menschen mit Behinderungen den vollen Genuss dieses Rechts und ihre volle Einbeziehung in die Gemeinschaft und Teilhabe an der Gemeinschaft zu ermöglichen, indem sie unter anderem gewährleisten, dass </w:t>
      </w:r>
    </w:p>
    <w:p w:rsidR="00711E44" w:rsidRPr="0001068E" w:rsidRDefault="00711E44" w:rsidP="0001068E">
      <w:pPr>
        <w:spacing w:line="360" w:lineRule="auto"/>
        <w:rPr>
          <w:rFonts w:cs="Arial"/>
        </w:rPr>
      </w:pPr>
      <w:r w:rsidRPr="0001068E">
        <w:rPr>
          <w:rFonts w:cs="Arial"/>
          <w:i/>
          <w:iCs/>
        </w:rPr>
        <w:t>a</w:t>
      </w:r>
      <w:r w:rsidRPr="0001068E">
        <w:rPr>
          <w:rFonts w:cs="Arial"/>
        </w:rPr>
        <w:t xml:space="preserve">) Menschen mit Behinderungen gleichberechtigt mit anderen die Möglichkeit haben, ihren Aufenthaltsort zu wählen und zu entscheiden, wo und mit wem sie leben, und nicht verpflichtet sind, in besonderen Wohnformen zu leben; </w:t>
      </w:r>
    </w:p>
    <w:p w:rsidR="00711E44" w:rsidRPr="0001068E" w:rsidRDefault="00711E44" w:rsidP="0001068E">
      <w:pPr>
        <w:spacing w:line="360" w:lineRule="auto"/>
        <w:rPr>
          <w:rFonts w:cs="Arial"/>
        </w:rPr>
      </w:pPr>
      <w:r w:rsidRPr="0001068E">
        <w:rPr>
          <w:rFonts w:cs="Arial"/>
          <w:i/>
          <w:iCs/>
        </w:rPr>
        <w:t>b</w:t>
      </w:r>
      <w:r w:rsidRPr="0001068E">
        <w:rPr>
          <w:rFonts w:cs="Arial"/>
        </w:rPr>
        <w:t xml:space="preserve">) Menschen mit Behinderungen Zugang zu einer Reihe von gemeindenahen Unterstützungsdiensten zu Hause und in Einrichtungen sowie zu sonstigen gemeindenahen Unterstützungsdiensten haben, einschließlich der persönlichen Assistenz, die zur Unterstützung des Lebens in der Gemeinschaft und der Einbeziehung in die Gemeinschaft sowie zur Verhinderung von Isolation und Absonderung von der Gemeinschaft notwendig ist; </w:t>
      </w:r>
    </w:p>
    <w:p w:rsidR="00711E44" w:rsidRPr="0001068E" w:rsidRDefault="00711E44" w:rsidP="0001068E">
      <w:pPr>
        <w:spacing w:line="360" w:lineRule="auto"/>
        <w:rPr>
          <w:rFonts w:cs="Arial"/>
        </w:rPr>
      </w:pPr>
      <w:r w:rsidRPr="0001068E">
        <w:rPr>
          <w:rFonts w:cs="Arial"/>
          <w:i/>
          <w:iCs/>
        </w:rPr>
        <w:t>c</w:t>
      </w:r>
      <w:r w:rsidRPr="0001068E">
        <w:rPr>
          <w:rFonts w:cs="Arial"/>
        </w:rPr>
        <w:t xml:space="preserve">) gemeindenahe Dienstleistungen und Einrichtungen für die Allgemeinheit Menschen mit Behinderungen auf der Grundlage der Gleichberechtigung zur Verfügung stehen und ihren Bedürfnissen Rechnung tragen. </w:t>
      </w:r>
    </w:p>
    <w:p w:rsidR="00DB3F04" w:rsidRPr="0001068E" w:rsidRDefault="00DB3F04" w:rsidP="0001068E">
      <w:pPr>
        <w:spacing w:line="360" w:lineRule="auto"/>
        <w:rPr>
          <w:rFonts w:cs="Arial"/>
          <w:b/>
          <w:bCs/>
        </w:rPr>
      </w:pPr>
    </w:p>
    <w:p w:rsidR="00711E44" w:rsidRPr="0001068E" w:rsidRDefault="00711E44" w:rsidP="0001068E">
      <w:pPr>
        <w:spacing w:line="360" w:lineRule="auto"/>
        <w:rPr>
          <w:rFonts w:cs="Arial"/>
        </w:rPr>
      </w:pPr>
      <w:r w:rsidRPr="0001068E">
        <w:rPr>
          <w:rFonts w:cs="Arial"/>
          <w:b/>
          <w:bCs/>
        </w:rPr>
        <w:t xml:space="preserve">Allgemeine Bemerkungen Nr. 5 </w:t>
      </w:r>
    </w:p>
    <w:p w:rsidR="00711E44" w:rsidRPr="0001068E" w:rsidRDefault="00711E44" w:rsidP="0001068E">
      <w:pPr>
        <w:spacing w:line="360" w:lineRule="auto"/>
        <w:rPr>
          <w:rFonts w:cs="Arial"/>
        </w:rPr>
      </w:pPr>
      <w:r w:rsidRPr="0001068E">
        <w:rPr>
          <w:rFonts w:cs="Arial"/>
        </w:rPr>
        <w:t>Abs. 16: „ Selbstbestimmt Leben ist ein wesentlicher Teil der individuellen Autonomie und Freiheit und bedeutet nicht automatisch, alleine zu leben…“</w:t>
      </w:r>
    </w:p>
    <w:p w:rsidR="00AD47F6" w:rsidRPr="0001068E" w:rsidRDefault="00AD47F6" w:rsidP="0001068E">
      <w:pPr>
        <w:spacing w:after="200" w:line="360" w:lineRule="auto"/>
        <w:rPr>
          <w:rFonts w:cs="Arial"/>
          <w:b/>
          <w:bCs/>
        </w:rPr>
      </w:pPr>
      <w:r w:rsidRPr="0001068E">
        <w:rPr>
          <w:rFonts w:cs="Arial"/>
          <w:b/>
          <w:bCs/>
        </w:rPr>
        <w:br w:type="page"/>
      </w:r>
    </w:p>
    <w:p w:rsidR="00711E44" w:rsidRPr="0001068E" w:rsidRDefault="00711E44" w:rsidP="0001068E">
      <w:pPr>
        <w:pStyle w:val="berschrift1"/>
        <w:pBdr>
          <w:bottom w:val="single" w:sz="4" w:space="1" w:color="auto"/>
        </w:pBdr>
        <w:spacing w:line="360" w:lineRule="auto"/>
        <w:rPr>
          <w:rFonts w:ascii="Arial" w:hAnsi="Arial" w:cs="Arial"/>
        </w:rPr>
      </w:pPr>
      <w:r w:rsidRPr="0001068E">
        <w:rPr>
          <w:rFonts w:ascii="Arial" w:hAnsi="Arial" w:cs="Arial"/>
        </w:rPr>
        <w:lastRenderedPageBreak/>
        <w:t>Vorurteil 5: SL ist mit zu großen Risiken verbunden. Einige Behinderte brauchen den Schonraum Heim als Schutz vor Ausbeutung, Missbrauch oder Vernachlässigung</w:t>
      </w:r>
    </w:p>
    <w:p w:rsidR="00DB3F04" w:rsidRPr="0001068E" w:rsidRDefault="00DB3F04" w:rsidP="0001068E">
      <w:pPr>
        <w:spacing w:line="360" w:lineRule="auto"/>
        <w:rPr>
          <w:rFonts w:cs="Arial"/>
          <w:b/>
          <w:bCs/>
        </w:rPr>
      </w:pPr>
    </w:p>
    <w:p w:rsidR="00711E44" w:rsidRPr="0001068E" w:rsidRDefault="00711E44" w:rsidP="0001068E">
      <w:pPr>
        <w:spacing w:line="360" w:lineRule="auto"/>
        <w:rPr>
          <w:rFonts w:cs="Arial"/>
        </w:rPr>
      </w:pPr>
      <w:r w:rsidRPr="0001068E">
        <w:rPr>
          <w:rFonts w:cs="Arial"/>
          <w:b/>
          <w:bCs/>
        </w:rPr>
        <w:t>Art. 19 UN BRK</w:t>
      </w:r>
    </w:p>
    <w:p w:rsidR="00711E44" w:rsidRPr="0001068E" w:rsidRDefault="00711E44" w:rsidP="0001068E">
      <w:pPr>
        <w:spacing w:line="360" w:lineRule="auto"/>
        <w:rPr>
          <w:rFonts w:cs="Arial"/>
        </w:rPr>
      </w:pPr>
      <w:r w:rsidRPr="0001068E">
        <w:rPr>
          <w:rFonts w:cs="Arial"/>
        </w:rPr>
        <w:t xml:space="preserve">Die Vertragsstaaten dieses Übereinkommens anerkennen das gleiche Recht aller Menschen mit Behinderungen, mit gleichen Wahlmöglichkeiten wie andere Menschen in der Gemeinschaft zu leben, und treffen wirksame und geeignete Maßnahmen, um Menschen mit Behinderungen den vollen Genuss dieses Rechts und ihre volle Einbeziehung in die Gemeinschaft und Teilhabe an der Gemeinschaft zu ermöglichen, indem sie unter anderem gewährleisten, dass </w:t>
      </w:r>
    </w:p>
    <w:p w:rsidR="00711E44" w:rsidRPr="0001068E" w:rsidRDefault="00711E44" w:rsidP="0001068E">
      <w:pPr>
        <w:spacing w:line="360" w:lineRule="auto"/>
        <w:rPr>
          <w:rFonts w:cs="Arial"/>
        </w:rPr>
      </w:pPr>
      <w:r w:rsidRPr="0001068E">
        <w:rPr>
          <w:rFonts w:cs="Arial"/>
          <w:i/>
          <w:iCs/>
        </w:rPr>
        <w:t>a</w:t>
      </w:r>
      <w:r w:rsidRPr="0001068E">
        <w:rPr>
          <w:rFonts w:cs="Arial"/>
        </w:rPr>
        <w:t xml:space="preserve">) Menschen mit Behinderungen gleichberechtigt mit anderen die Möglichkeit haben, ihren Aufenthaltsort zu wählen und zu entscheiden, wo und mit wem sie leben, und nicht verpflichtet sind, in besonderen Wohnformen zu leben; </w:t>
      </w:r>
    </w:p>
    <w:p w:rsidR="00711E44" w:rsidRPr="0001068E" w:rsidRDefault="00711E44" w:rsidP="0001068E">
      <w:pPr>
        <w:spacing w:line="360" w:lineRule="auto"/>
        <w:rPr>
          <w:rFonts w:cs="Arial"/>
        </w:rPr>
      </w:pPr>
      <w:r w:rsidRPr="0001068E">
        <w:rPr>
          <w:rFonts w:cs="Arial"/>
          <w:i/>
          <w:iCs/>
        </w:rPr>
        <w:t>b</w:t>
      </w:r>
      <w:r w:rsidRPr="0001068E">
        <w:rPr>
          <w:rFonts w:cs="Arial"/>
        </w:rPr>
        <w:t xml:space="preserve">) Menschen mit Behinderungen Zugang zu einer Reihe von gemeindenahen Unterstützungsdiensten zu Hause und in Einrichtungen sowie zu sonstigen gemeindenahen Unterstützungsdiensten haben, einschließlich der persönlichen Assistenz, die zur Unterstützung des Lebens in der Gemeinschaft und der Einbeziehung in die Gemeinschaft sowie zur Verhinderung von Isolation und Absonderung von der Gemeinschaft notwendig ist; </w:t>
      </w:r>
    </w:p>
    <w:p w:rsidR="00711E44" w:rsidRPr="0001068E" w:rsidRDefault="00711E44" w:rsidP="0001068E">
      <w:pPr>
        <w:spacing w:line="360" w:lineRule="auto"/>
        <w:rPr>
          <w:rFonts w:cs="Arial"/>
        </w:rPr>
      </w:pPr>
      <w:r w:rsidRPr="0001068E">
        <w:rPr>
          <w:rFonts w:cs="Arial"/>
          <w:i/>
          <w:iCs/>
        </w:rPr>
        <w:t>c</w:t>
      </w:r>
      <w:r w:rsidRPr="0001068E">
        <w:rPr>
          <w:rFonts w:cs="Arial"/>
        </w:rPr>
        <w:t xml:space="preserve">) gemeindenahe Dienstleistungen und Einrichtungen für die Allgemeinheit Menschen mit Behinderungen auf der Grundlage der Gleichberechtigung zur Verfügung stehen und ihren Bedürfnissen Rechnung tragen. </w:t>
      </w:r>
    </w:p>
    <w:p w:rsidR="00DB3F04" w:rsidRPr="0001068E" w:rsidRDefault="00DB3F04" w:rsidP="0001068E">
      <w:pPr>
        <w:spacing w:line="360" w:lineRule="auto"/>
        <w:rPr>
          <w:rFonts w:cs="Arial"/>
          <w:b/>
          <w:bCs/>
        </w:rPr>
      </w:pPr>
    </w:p>
    <w:p w:rsidR="00711E44" w:rsidRPr="0001068E" w:rsidRDefault="00711E44" w:rsidP="0001068E">
      <w:pPr>
        <w:spacing w:line="360" w:lineRule="auto"/>
        <w:rPr>
          <w:rFonts w:cs="Arial"/>
        </w:rPr>
      </w:pPr>
      <w:r w:rsidRPr="0001068E">
        <w:rPr>
          <w:rFonts w:cs="Arial"/>
          <w:b/>
          <w:bCs/>
        </w:rPr>
        <w:t xml:space="preserve">Allgemeine Bemerkungen Nr. 5 </w:t>
      </w:r>
    </w:p>
    <w:p w:rsidR="00711E44" w:rsidRPr="0001068E" w:rsidRDefault="00711E44" w:rsidP="0001068E">
      <w:pPr>
        <w:spacing w:line="360" w:lineRule="auto"/>
        <w:rPr>
          <w:rFonts w:cs="Arial"/>
        </w:rPr>
      </w:pPr>
      <w:r w:rsidRPr="0001068E">
        <w:rPr>
          <w:rFonts w:cs="Arial"/>
        </w:rPr>
        <w:t>Abs. 49: „ Die Achtung der Rechte aus Art.19 bedeutet, dass Vertragsstaaten Heime abbauen müssen. Vertragsstaaten dürfen weder neue Heime bauen, noch dürfen alte Einrichtungen über das notwendigste Maß der Sicherheitserhaltung für die Bewohner hinaus renoviert werden. Einrichtungen  sollten nicht erweitert werden, neue Bewohner sollten keine frei gewordenen Plätze einnehmen und „Satelliten“- Wohnarrangements, die als Zweig einer Einrichtungen entwickelt werden und die den Anschein individueller Lebensgestaltung haben (Apartments oder Einzelwohnungen) jedoch um Einrichtungen kreisen, sollten nicht geschaffen werden…“</w:t>
      </w:r>
    </w:p>
    <w:p w:rsidR="00DB3F04" w:rsidRPr="0001068E" w:rsidRDefault="00DB3F04" w:rsidP="0001068E">
      <w:pPr>
        <w:spacing w:line="360" w:lineRule="auto"/>
        <w:rPr>
          <w:rFonts w:cs="Arial"/>
        </w:rPr>
      </w:pPr>
    </w:p>
    <w:p w:rsidR="00711E44" w:rsidRPr="0001068E" w:rsidRDefault="00711E44" w:rsidP="0001068E">
      <w:pPr>
        <w:spacing w:line="360" w:lineRule="auto"/>
        <w:rPr>
          <w:rFonts w:cs="Arial"/>
        </w:rPr>
      </w:pPr>
      <w:r w:rsidRPr="0001068E">
        <w:rPr>
          <w:rFonts w:cs="Arial"/>
        </w:rPr>
        <w:t xml:space="preserve">Abs. 84: „ Es ist von höchster Bedeutung sicherzustellen, dass Unterstützungsdienste keinen Raum für potenziellen Missbrauch, Ausbeutung von Menschen mit Behinderungen oder jegliche gegen sie gerichtete Gewalt lassen (Art. 16). Behinderungs-, geschlechts- und </w:t>
      </w:r>
      <w:r w:rsidRPr="0001068E">
        <w:rPr>
          <w:rFonts w:cs="Arial"/>
        </w:rPr>
        <w:lastRenderedPageBreak/>
        <w:t>altersspezifische Monitoringinstrumente, Rechtsbehelfe und Hilfe müssen allen Menschen mit Behinderungen, die die nach Art. 19 vorgeschriebenen Dienste nutzen, und die von Missbrauch, Gewalt und Ausbeutung betroffen sein können, zur Verfügung stehen….“</w:t>
      </w:r>
    </w:p>
    <w:p w:rsidR="00AD47F6" w:rsidRPr="0001068E" w:rsidRDefault="00AD47F6" w:rsidP="0001068E">
      <w:pPr>
        <w:spacing w:after="200" w:line="360" w:lineRule="auto"/>
        <w:rPr>
          <w:rFonts w:cs="Arial"/>
          <w:b/>
          <w:bCs/>
        </w:rPr>
      </w:pPr>
      <w:r w:rsidRPr="0001068E">
        <w:rPr>
          <w:rFonts w:cs="Arial"/>
          <w:b/>
          <w:bCs/>
        </w:rPr>
        <w:br w:type="page"/>
      </w:r>
    </w:p>
    <w:p w:rsidR="00711E44" w:rsidRPr="0001068E" w:rsidRDefault="00711E44" w:rsidP="0001068E">
      <w:pPr>
        <w:pStyle w:val="berschrift1"/>
        <w:pBdr>
          <w:bottom w:val="single" w:sz="4" w:space="1" w:color="auto"/>
        </w:pBdr>
        <w:spacing w:line="360" w:lineRule="auto"/>
        <w:rPr>
          <w:rFonts w:ascii="Arial" w:hAnsi="Arial" w:cs="Arial"/>
        </w:rPr>
      </w:pPr>
      <w:r w:rsidRPr="0001068E">
        <w:rPr>
          <w:rFonts w:ascii="Arial" w:hAnsi="Arial" w:cs="Arial"/>
        </w:rPr>
        <w:lastRenderedPageBreak/>
        <w:t>Vorurteil 6: SL kann durch Wohngruppen und Tageszentren für Behinderte erreicht werden</w:t>
      </w:r>
    </w:p>
    <w:p w:rsidR="00DB3F04" w:rsidRPr="0001068E" w:rsidRDefault="00DB3F04" w:rsidP="0001068E">
      <w:pPr>
        <w:spacing w:line="360" w:lineRule="auto"/>
        <w:rPr>
          <w:rFonts w:cs="Arial"/>
          <w:b/>
          <w:bCs/>
        </w:rPr>
      </w:pPr>
    </w:p>
    <w:p w:rsidR="00711E44" w:rsidRPr="0001068E" w:rsidRDefault="00711E44" w:rsidP="0001068E">
      <w:pPr>
        <w:spacing w:line="360" w:lineRule="auto"/>
        <w:rPr>
          <w:rFonts w:cs="Arial"/>
        </w:rPr>
      </w:pPr>
      <w:r w:rsidRPr="0001068E">
        <w:rPr>
          <w:rFonts w:cs="Arial"/>
          <w:b/>
          <w:bCs/>
        </w:rPr>
        <w:t>Art. 19 UN BRK</w:t>
      </w:r>
    </w:p>
    <w:p w:rsidR="00711E44" w:rsidRPr="0001068E" w:rsidRDefault="00711E44" w:rsidP="0001068E">
      <w:pPr>
        <w:spacing w:line="360" w:lineRule="auto"/>
        <w:rPr>
          <w:rFonts w:cs="Arial"/>
        </w:rPr>
      </w:pPr>
      <w:r w:rsidRPr="0001068E">
        <w:rPr>
          <w:rFonts w:cs="Arial"/>
        </w:rPr>
        <w:t xml:space="preserve">Die Vertragsstaaten dieses Übereinkommens anerkennen das gleiche Recht aller Menschen mit Behinderungen, mit gleichen Wahlmöglichkeiten wie andere Menschen in der Gemeinschaft zu leben, und treffen wirksame und geeignete Maßnahmen, um Menschen mit Behinderungen den vollen Genuss dieses Rechts und ihre volle Einbeziehung in die Gemeinschaft und Teilhabe an der Gemeinschaft zu ermöglichen, indem sie unter anderem gewährleisten, dass </w:t>
      </w:r>
    </w:p>
    <w:p w:rsidR="00711E44" w:rsidRPr="0001068E" w:rsidRDefault="00711E44" w:rsidP="0001068E">
      <w:pPr>
        <w:spacing w:line="360" w:lineRule="auto"/>
        <w:rPr>
          <w:rFonts w:cs="Arial"/>
        </w:rPr>
      </w:pPr>
      <w:r w:rsidRPr="0001068E">
        <w:rPr>
          <w:rFonts w:cs="Arial"/>
          <w:i/>
          <w:iCs/>
        </w:rPr>
        <w:t>a</w:t>
      </w:r>
      <w:r w:rsidRPr="0001068E">
        <w:rPr>
          <w:rFonts w:cs="Arial"/>
        </w:rPr>
        <w:t xml:space="preserve">) Menschen mit Behinderungen gleichberechtigt mit anderen die Möglichkeit haben, ihren Aufenthaltsort zu wählen und zu entscheiden, wo und mit wem sie leben, und nicht verpflichtet sind, in besonderen Wohnformen zu leben; </w:t>
      </w:r>
    </w:p>
    <w:p w:rsidR="00711E44" w:rsidRPr="0001068E" w:rsidRDefault="00711E44" w:rsidP="0001068E">
      <w:pPr>
        <w:spacing w:line="360" w:lineRule="auto"/>
        <w:rPr>
          <w:rFonts w:cs="Arial"/>
        </w:rPr>
      </w:pPr>
      <w:r w:rsidRPr="0001068E">
        <w:rPr>
          <w:rFonts w:cs="Arial"/>
          <w:i/>
          <w:iCs/>
        </w:rPr>
        <w:t>b</w:t>
      </w:r>
      <w:r w:rsidRPr="0001068E">
        <w:rPr>
          <w:rFonts w:cs="Arial"/>
        </w:rPr>
        <w:t xml:space="preserve">) Menschen mit Behinderungen Zugang zu einer Reihe von gemeindenahen Unterstützungsdiensten zu Hause und in Einrichtungen sowie zu sonstigen gemeindenahen Unterstützungsdiensten haben, einschließlich der persönlichen Assistenz, die zur Unterstützung des Lebens in der Gemeinschaft und der Einbeziehung in die Gemeinschaft sowie zur Verhinderung von Isolation und Absonderung von der Gemeinschaft notwendig ist; </w:t>
      </w:r>
    </w:p>
    <w:p w:rsidR="00711E44" w:rsidRPr="0001068E" w:rsidRDefault="00711E44" w:rsidP="0001068E">
      <w:pPr>
        <w:spacing w:line="360" w:lineRule="auto"/>
        <w:rPr>
          <w:rFonts w:cs="Arial"/>
        </w:rPr>
      </w:pPr>
      <w:r w:rsidRPr="0001068E">
        <w:rPr>
          <w:rFonts w:cs="Arial"/>
          <w:i/>
          <w:iCs/>
        </w:rPr>
        <w:t>c</w:t>
      </w:r>
      <w:r w:rsidRPr="0001068E">
        <w:rPr>
          <w:rFonts w:cs="Arial"/>
        </w:rPr>
        <w:t xml:space="preserve">) gemeindenahe Dienstleistungen und Einrichtungen für die Allgemeinheit Menschen mit Behinderungen auf der Grundlage der Gleichberechtigung zur Verfügung stehen und ihren Bedürfnissen Rechnung tragen. </w:t>
      </w:r>
    </w:p>
    <w:p w:rsidR="00DB3F04" w:rsidRPr="0001068E" w:rsidRDefault="00DB3F04" w:rsidP="0001068E">
      <w:pPr>
        <w:spacing w:line="360" w:lineRule="auto"/>
        <w:rPr>
          <w:rFonts w:cs="Arial"/>
          <w:b/>
          <w:bCs/>
        </w:rPr>
      </w:pPr>
    </w:p>
    <w:p w:rsidR="00711E44" w:rsidRPr="0001068E" w:rsidRDefault="00711E44" w:rsidP="0001068E">
      <w:pPr>
        <w:spacing w:line="360" w:lineRule="auto"/>
        <w:rPr>
          <w:rFonts w:cs="Arial"/>
        </w:rPr>
      </w:pPr>
      <w:r w:rsidRPr="0001068E">
        <w:rPr>
          <w:rFonts w:cs="Arial"/>
          <w:b/>
          <w:bCs/>
        </w:rPr>
        <w:t xml:space="preserve">Allgemeine Bemerkungen Nr. 5 </w:t>
      </w:r>
    </w:p>
    <w:p w:rsidR="00711E44" w:rsidRPr="0001068E" w:rsidRDefault="00711E44" w:rsidP="0001068E">
      <w:pPr>
        <w:spacing w:line="360" w:lineRule="auto"/>
        <w:rPr>
          <w:rFonts w:cs="Arial"/>
        </w:rPr>
      </w:pPr>
      <w:r w:rsidRPr="0001068E">
        <w:rPr>
          <w:rFonts w:cs="Arial"/>
        </w:rPr>
        <w:t xml:space="preserve">Abs. 16:“Weder große Einrichtungen mit mehr als hundert Bewohnerinnen und Bewohnern noch kleinere Wohngruppen mit fünf oder acht Personen, oder sogar Einfamilienhäuser können, wenn sie bestimmte einrichtungsspezifische Merkmale aufweisen, als Selbstbestimmtes Leben oder als Form des Lebens in der Gemeinschaft bezeichnet werden. Heime können sich der Größe, dem Namen und der Organisation nach unterscheiden, aber sie zeichnen sich durch folgende Kriterien aus: Verpflichtung zur gemeinsamen Nutzung von Assistenz und keinen oder eingeschränkten Einfluss darauf, von wem Assistenz angenommen werden muss; Isolierung und Absonderung vom selbstbestimmten Leben in der Gemeinschaft; fehlende Selbstbestimmung über alltägliche Entscheidungen; fehlende Wahlfreiheit hinsichtlich der Mitbewohnerinnen und Mitbewohner; starre Abläufe losgelöst von persönlichen Wünschen und Präferenzen; identische Aktivitäten am gleichen Ort für eine Gruppe von Menschen unter der Aufsicht einer Person; ein paternalistischer Ansatz bei der Bereitstellung von Diensten; eine überwachte Form des Wohnens und zusätzlich in vielen </w:t>
      </w:r>
      <w:r w:rsidRPr="0001068E">
        <w:rPr>
          <w:rFonts w:cs="Arial"/>
        </w:rPr>
        <w:lastRenderedPageBreak/>
        <w:t>Fällen eine überdurchschnittlich hohe Anzahl von Personen mit Behinderungen, die im gleichen Umfeld leben….“</w:t>
      </w:r>
    </w:p>
    <w:p w:rsidR="00DB3F04" w:rsidRPr="0001068E" w:rsidRDefault="00DB3F04" w:rsidP="0001068E">
      <w:pPr>
        <w:spacing w:line="360" w:lineRule="auto"/>
        <w:rPr>
          <w:rFonts w:cs="Arial"/>
        </w:rPr>
      </w:pPr>
    </w:p>
    <w:p w:rsidR="00711E44" w:rsidRPr="0001068E" w:rsidRDefault="00711E44" w:rsidP="0001068E">
      <w:pPr>
        <w:spacing w:line="360" w:lineRule="auto"/>
        <w:rPr>
          <w:rFonts w:cs="Arial"/>
        </w:rPr>
      </w:pPr>
      <w:r w:rsidRPr="0001068E">
        <w:rPr>
          <w:rFonts w:cs="Arial"/>
        </w:rPr>
        <w:t>Abs</w:t>
      </w:r>
      <w:r w:rsidR="00DB3F04" w:rsidRPr="0001068E">
        <w:rPr>
          <w:rFonts w:cs="Arial"/>
        </w:rPr>
        <w:t>.</w:t>
      </w:r>
      <w:r w:rsidRPr="0001068E">
        <w:rPr>
          <w:rFonts w:cs="Arial"/>
        </w:rPr>
        <w:t xml:space="preserve"> 30,34,49,51</w:t>
      </w:r>
    </w:p>
    <w:p w:rsidR="00AD47F6" w:rsidRPr="0001068E" w:rsidRDefault="00AD47F6" w:rsidP="0001068E">
      <w:pPr>
        <w:spacing w:after="200" w:line="360" w:lineRule="auto"/>
        <w:rPr>
          <w:rFonts w:cs="Arial"/>
          <w:b/>
          <w:bCs/>
        </w:rPr>
      </w:pPr>
      <w:r w:rsidRPr="0001068E">
        <w:rPr>
          <w:rFonts w:cs="Arial"/>
          <w:b/>
          <w:bCs/>
        </w:rPr>
        <w:br w:type="page"/>
      </w:r>
    </w:p>
    <w:p w:rsidR="00711E44" w:rsidRPr="0001068E" w:rsidRDefault="00711E44" w:rsidP="0001068E">
      <w:pPr>
        <w:pStyle w:val="berschrift1"/>
        <w:pBdr>
          <w:bottom w:val="single" w:sz="4" w:space="1" w:color="auto"/>
        </w:pBdr>
        <w:spacing w:line="360" w:lineRule="auto"/>
        <w:rPr>
          <w:rFonts w:ascii="Arial" w:hAnsi="Arial" w:cs="Arial"/>
        </w:rPr>
      </w:pPr>
      <w:r w:rsidRPr="0001068E">
        <w:rPr>
          <w:rFonts w:ascii="Arial" w:hAnsi="Arial" w:cs="Arial"/>
        </w:rPr>
        <w:lastRenderedPageBreak/>
        <w:t>Vorurteil 7: SL für alle Behinderten ist zu teuer</w:t>
      </w:r>
    </w:p>
    <w:p w:rsidR="00DB3F04" w:rsidRPr="0001068E" w:rsidRDefault="00DB3F04" w:rsidP="0001068E">
      <w:pPr>
        <w:spacing w:line="360" w:lineRule="auto"/>
        <w:rPr>
          <w:rFonts w:cs="Arial"/>
          <w:b/>
          <w:bCs/>
        </w:rPr>
      </w:pPr>
    </w:p>
    <w:p w:rsidR="00711E44" w:rsidRPr="0001068E" w:rsidRDefault="00711E44" w:rsidP="0001068E">
      <w:pPr>
        <w:spacing w:line="360" w:lineRule="auto"/>
        <w:rPr>
          <w:rFonts w:cs="Arial"/>
        </w:rPr>
      </w:pPr>
      <w:r w:rsidRPr="0001068E">
        <w:rPr>
          <w:rFonts w:cs="Arial"/>
          <w:b/>
          <w:bCs/>
        </w:rPr>
        <w:t>Art. 19 UN BRK</w:t>
      </w:r>
    </w:p>
    <w:p w:rsidR="00711E44" w:rsidRPr="0001068E" w:rsidRDefault="00711E44" w:rsidP="0001068E">
      <w:pPr>
        <w:spacing w:line="360" w:lineRule="auto"/>
        <w:rPr>
          <w:rFonts w:cs="Arial"/>
        </w:rPr>
      </w:pPr>
      <w:r w:rsidRPr="0001068E">
        <w:rPr>
          <w:rFonts w:cs="Arial"/>
        </w:rPr>
        <w:t xml:space="preserve">Die Vertragsstaaten dieses Übereinkommens anerkennen das gleiche Recht aller Menschen mit Behinderungen, mit gleichen Wahlmöglichkeiten wie andere Menschen in der Gemeinschaft zu leben, und treffen wirksame und geeignete Maßnahmen, um Menschen mit Behinderungen den vollen Genuss dieses Rechts und ihre volle Einbeziehung in die Gemeinschaft und Teilhabe an der Gemeinschaft zu ermöglichen, indem sie unter anderem gewährleisten, dass </w:t>
      </w:r>
    </w:p>
    <w:p w:rsidR="00711E44" w:rsidRPr="0001068E" w:rsidRDefault="00711E44" w:rsidP="0001068E">
      <w:pPr>
        <w:spacing w:line="360" w:lineRule="auto"/>
        <w:rPr>
          <w:rFonts w:cs="Arial"/>
        </w:rPr>
      </w:pPr>
      <w:r w:rsidRPr="0001068E">
        <w:rPr>
          <w:rFonts w:cs="Arial"/>
          <w:i/>
          <w:iCs/>
        </w:rPr>
        <w:t>a</w:t>
      </w:r>
      <w:r w:rsidRPr="0001068E">
        <w:rPr>
          <w:rFonts w:cs="Arial"/>
        </w:rPr>
        <w:t xml:space="preserve">) Menschen mit Behinderungen gleichberechtigt mit anderen die Möglichkeit haben, ihren Aufenthaltsort zu wählen und zu entscheiden, wo und mit wem sie leben, und nicht verpflichtet sind, in besonderen Wohnformen zu leben; </w:t>
      </w:r>
    </w:p>
    <w:p w:rsidR="00711E44" w:rsidRPr="0001068E" w:rsidRDefault="00711E44" w:rsidP="0001068E">
      <w:pPr>
        <w:spacing w:line="360" w:lineRule="auto"/>
        <w:rPr>
          <w:rFonts w:cs="Arial"/>
        </w:rPr>
      </w:pPr>
      <w:r w:rsidRPr="0001068E">
        <w:rPr>
          <w:rFonts w:cs="Arial"/>
          <w:i/>
          <w:iCs/>
        </w:rPr>
        <w:t>b</w:t>
      </w:r>
      <w:r w:rsidRPr="0001068E">
        <w:rPr>
          <w:rFonts w:cs="Arial"/>
        </w:rPr>
        <w:t xml:space="preserve">) Menschen mit Behinderungen Zugang zu einer Reihe von gemeindenahen Unterstützungsdiensten zu Hause und in Einrichtungen sowie zu sonstigen gemeindenahen Unterstützungsdiensten haben, einschließlich der persönlichen Assistenz, die zur Unterstützung des Lebens in der Gemeinschaft und der Einbeziehung in die Gemeinschaft sowie zur Verhinderung von Isolation und Absonderung von der Gemeinschaft notwendig ist; </w:t>
      </w:r>
    </w:p>
    <w:p w:rsidR="00711E44" w:rsidRPr="0001068E" w:rsidRDefault="00711E44" w:rsidP="0001068E">
      <w:pPr>
        <w:spacing w:line="360" w:lineRule="auto"/>
        <w:rPr>
          <w:rFonts w:cs="Arial"/>
        </w:rPr>
      </w:pPr>
      <w:r w:rsidRPr="0001068E">
        <w:rPr>
          <w:rFonts w:cs="Arial"/>
          <w:i/>
          <w:iCs/>
        </w:rPr>
        <w:t>c</w:t>
      </w:r>
      <w:r w:rsidRPr="0001068E">
        <w:rPr>
          <w:rFonts w:cs="Arial"/>
        </w:rPr>
        <w:t xml:space="preserve">) gemeindenahe Dienstleistungen und Einrichtungen für die Allgemeinheit Menschen mit Behinderungen auf der Grundlage der Gleichberechtigung zur Verfügung stehen und ihren Bedürfnissen Rechnung tragen. </w:t>
      </w:r>
    </w:p>
    <w:p w:rsidR="00DB3F04" w:rsidRPr="0001068E" w:rsidRDefault="00DB3F04" w:rsidP="0001068E">
      <w:pPr>
        <w:spacing w:line="360" w:lineRule="auto"/>
        <w:rPr>
          <w:rFonts w:cs="Arial"/>
          <w:b/>
          <w:bCs/>
        </w:rPr>
      </w:pPr>
    </w:p>
    <w:p w:rsidR="00711E44" w:rsidRPr="0001068E" w:rsidRDefault="00711E44" w:rsidP="0001068E">
      <w:pPr>
        <w:spacing w:line="360" w:lineRule="auto"/>
        <w:rPr>
          <w:rFonts w:cs="Arial"/>
        </w:rPr>
      </w:pPr>
      <w:r w:rsidRPr="0001068E">
        <w:rPr>
          <w:rFonts w:cs="Arial"/>
          <w:b/>
          <w:bCs/>
        </w:rPr>
        <w:t xml:space="preserve">Allgemeine Bemerkungen Nr. 5 </w:t>
      </w:r>
    </w:p>
    <w:p w:rsidR="00711E44" w:rsidRPr="0001068E" w:rsidRDefault="00711E44" w:rsidP="0001068E">
      <w:pPr>
        <w:spacing w:line="360" w:lineRule="auto"/>
        <w:rPr>
          <w:rFonts w:cs="Arial"/>
        </w:rPr>
      </w:pPr>
      <w:r w:rsidRPr="0001068E">
        <w:rPr>
          <w:rFonts w:cs="Arial"/>
        </w:rPr>
        <w:t>Abs. 21: „ Wenn bei Menschen mit Behinderung ein hoher Unterstützungsbedarf festgestellt wird, sehen Vertragsstaaten die Heimunterbringung oft als einzige Lösung, insbesondere, wenn der persönliche Unterstützungsbedarf als zu teuer angesehen wird oder dem behinderten Mensch ein Leben außerhalb von Einrichtungen nicht zugetrautwird.  Menschen mit intellektuellen Beeinträchtigungen, insbesondere solche mit komplexen Kommunikationsbedarfen wird häufig bescheinigt, nicht in der Lage zu sein, außerhalb von Einrichtungen zu leben. Eine solche Denkweise widerspricht Artikel 19, da sich dort das Recht auf unabhängige Lebensführung und Einbeziehung in die Gemeinschaft auf alle Menschen mit Behinderungen erstreckt, unabhängig vom Grad der geistigen Fähigkeiten, der funktionellen Fähigkeiten und dem Unterstützungsbedarf.“</w:t>
      </w:r>
    </w:p>
    <w:p w:rsidR="00DB3F04" w:rsidRPr="0001068E" w:rsidRDefault="00DB3F04" w:rsidP="0001068E">
      <w:pPr>
        <w:spacing w:line="360" w:lineRule="auto"/>
        <w:rPr>
          <w:rFonts w:cs="Arial"/>
        </w:rPr>
      </w:pPr>
    </w:p>
    <w:p w:rsidR="00DB3F04" w:rsidRPr="0001068E" w:rsidRDefault="00711E44" w:rsidP="0001068E">
      <w:pPr>
        <w:spacing w:line="360" w:lineRule="auto"/>
        <w:rPr>
          <w:rFonts w:cs="Arial"/>
        </w:rPr>
      </w:pPr>
      <w:r w:rsidRPr="0001068E">
        <w:rPr>
          <w:rFonts w:cs="Arial"/>
        </w:rPr>
        <w:t>Abs. 36</w:t>
      </w:r>
    </w:p>
    <w:p w:rsidR="00AD47F6" w:rsidRPr="0001068E" w:rsidRDefault="00AD47F6" w:rsidP="0001068E">
      <w:pPr>
        <w:spacing w:after="200" w:line="360" w:lineRule="auto"/>
        <w:rPr>
          <w:rFonts w:cs="Arial"/>
          <w:b/>
          <w:bCs/>
        </w:rPr>
      </w:pPr>
      <w:r w:rsidRPr="0001068E">
        <w:rPr>
          <w:rFonts w:cs="Arial"/>
          <w:b/>
          <w:bCs/>
        </w:rPr>
        <w:br w:type="page"/>
      </w:r>
    </w:p>
    <w:p w:rsidR="00711E44" w:rsidRPr="0001068E" w:rsidRDefault="00711E44" w:rsidP="0001068E">
      <w:pPr>
        <w:pStyle w:val="berschrift1"/>
        <w:pBdr>
          <w:bottom w:val="single" w:sz="4" w:space="1" w:color="auto"/>
        </w:pBdr>
        <w:spacing w:line="360" w:lineRule="auto"/>
        <w:rPr>
          <w:rFonts w:ascii="Arial" w:hAnsi="Arial" w:cs="Arial"/>
        </w:rPr>
      </w:pPr>
      <w:r w:rsidRPr="0001068E">
        <w:rPr>
          <w:rFonts w:ascii="Arial" w:hAnsi="Arial" w:cs="Arial"/>
        </w:rPr>
        <w:lastRenderedPageBreak/>
        <w:t>Vorurteil 8: SL ist für behinderte Frauen wie behinderte Männer gleich!</w:t>
      </w:r>
    </w:p>
    <w:p w:rsidR="00DB3F04" w:rsidRPr="0001068E" w:rsidRDefault="00DB3F04" w:rsidP="0001068E">
      <w:pPr>
        <w:spacing w:line="360" w:lineRule="auto"/>
        <w:rPr>
          <w:rFonts w:cs="Arial"/>
          <w:b/>
          <w:bCs/>
        </w:rPr>
      </w:pPr>
    </w:p>
    <w:p w:rsidR="00711E44" w:rsidRPr="0001068E" w:rsidRDefault="00711E44" w:rsidP="0001068E">
      <w:pPr>
        <w:spacing w:line="360" w:lineRule="auto"/>
        <w:rPr>
          <w:rFonts w:cs="Arial"/>
        </w:rPr>
      </w:pPr>
      <w:r w:rsidRPr="0001068E">
        <w:rPr>
          <w:rFonts w:cs="Arial"/>
          <w:b/>
          <w:bCs/>
        </w:rPr>
        <w:t>Art. 19 UN BRK</w:t>
      </w:r>
    </w:p>
    <w:p w:rsidR="00711E44" w:rsidRPr="0001068E" w:rsidRDefault="00711E44" w:rsidP="0001068E">
      <w:pPr>
        <w:spacing w:line="360" w:lineRule="auto"/>
        <w:rPr>
          <w:rFonts w:cs="Arial"/>
        </w:rPr>
      </w:pPr>
      <w:r w:rsidRPr="0001068E">
        <w:rPr>
          <w:rFonts w:cs="Arial"/>
        </w:rPr>
        <w:t xml:space="preserve">Die Vertragsstaaten dieses Übereinkommens anerkennen das gleiche Recht aller Menschen mit Behinderungen, mit gleichen Wahlmöglichkeiten wie andere Menschen in der Gemeinschaft zu leben, und treffen wirksame und geeignete Maßnahmen, um Menschen mit Behinderungen den vollen Genuss dieses Rechts und ihre volle Einbeziehung in die Gemeinschaft und Teilhabe an der Gemeinschaft zu ermöglichen, indem sie unter anderem gewährleisten, dass </w:t>
      </w:r>
    </w:p>
    <w:p w:rsidR="00711E44" w:rsidRPr="0001068E" w:rsidRDefault="00711E44" w:rsidP="0001068E">
      <w:pPr>
        <w:spacing w:line="360" w:lineRule="auto"/>
        <w:rPr>
          <w:rFonts w:cs="Arial"/>
        </w:rPr>
      </w:pPr>
      <w:r w:rsidRPr="0001068E">
        <w:rPr>
          <w:rFonts w:cs="Arial"/>
          <w:i/>
          <w:iCs/>
        </w:rPr>
        <w:t>a</w:t>
      </w:r>
      <w:r w:rsidRPr="0001068E">
        <w:rPr>
          <w:rFonts w:cs="Arial"/>
        </w:rPr>
        <w:t xml:space="preserve">) Menschen mit Behinderungen gleichberechtigt mit anderen die Möglichkeit haben, ihren Aufenthaltsort zu wählen und zu entscheiden, wo und mit wem sie leben, und nicht verpflichtet sind, in besonderen Wohnformen zu leben; </w:t>
      </w:r>
    </w:p>
    <w:p w:rsidR="00711E44" w:rsidRPr="0001068E" w:rsidRDefault="00711E44" w:rsidP="0001068E">
      <w:pPr>
        <w:spacing w:line="360" w:lineRule="auto"/>
        <w:rPr>
          <w:rFonts w:cs="Arial"/>
        </w:rPr>
      </w:pPr>
      <w:r w:rsidRPr="0001068E">
        <w:rPr>
          <w:rFonts w:cs="Arial"/>
          <w:i/>
          <w:iCs/>
        </w:rPr>
        <w:t>b</w:t>
      </w:r>
      <w:r w:rsidRPr="0001068E">
        <w:rPr>
          <w:rFonts w:cs="Arial"/>
        </w:rPr>
        <w:t xml:space="preserve">) Menschen mit Behinderungen Zugang zu einer Reihe von gemeindenahen Unterstützungsdiensten zu Hause und in Einrichtungen sowie zu sonstigen gemeindenahen Unterstützungsdiensten haben, einschließlich der persönlichen Assistenz, die zur Unterstützung des Lebens in der Gemeinschaft und der Einbeziehung in die Gemeinschaft sowie zur Verhinderung von Isolation und Absonderung von der Gemeinschaft notwendig ist; </w:t>
      </w:r>
    </w:p>
    <w:p w:rsidR="00711E44" w:rsidRPr="0001068E" w:rsidRDefault="00711E44" w:rsidP="0001068E">
      <w:pPr>
        <w:spacing w:line="360" w:lineRule="auto"/>
        <w:rPr>
          <w:rFonts w:cs="Arial"/>
        </w:rPr>
      </w:pPr>
      <w:r w:rsidRPr="0001068E">
        <w:rPr>
          <w:rFonts w:cs="Arial"/>
          <w:i/>
          <w:iCs/>
        </w:rPr>
        <w:t>c</w:t>
      </w:r>
      <w:r w:rsidRPr="0001068E">
        <w:rPr>
          <w:rFonts w:cs="Arial"/>
        </w:rPr>
        <w:t xml:space="preserve">) gemeindenahe Dienstleistungen und Einrichtungen für die Allgemeinheit Menschen mit Behinderungen auf der Grundlage der Gleichberechtigung zur Verfügung stehen und ihren Bedürfnissen Rechnung tragen. </w:t>
      </w:r>
    </w:p>
    <w:p w:rsidR="00DB3F04" w:rsidRPr="0001068E" w:rsidRDefault="00DB3F04" w:rsidP="0001068E">
      <w:pPr>
        <w:spacing w:line="360" w:lineRule="auto"/>
        <w:rPr>
          <w:rFonts w:cs="Arial"/>
          <w:b/>
          <w:bCs/>
        </w:rPr>
      </w:pPr>
    </w:p>
    <w:p w:rsidR="00711E44" w:rsidRPr="0001068E" w:rsidRDefault="00711E44" w:rsidP="0001068E">
      <w:pPr>
        <w:spacing w:line="360" w:lineRule="auto"/>
        <w:rPr>
          <w:rFonts w:cs="Arial"/>
        </w:rPr>
      </w:pPr>
      <w:r w:rsidRPr="0001068E">
        <w:rPr>
          <w:rFonts w:cs="Arial"/>
          <w:b/>
          <w:bCs/>
        </w:rPr>
        <w:t>Allgemeine Bemerkungen Nr. 5</w:t>
      </w:r>
    </w:p>
    <w:p w:rsidR="00711E44" w:rsidRPr="0001068E" w:rsidRDefault="00711E44" w:rsidP="0001068E">
      <w:pPr>
        <w:spacing w:line="360" w:lineRule="auto"/>
        <w:rPr>
          <w:rFonts w:cs="Arial"/>
        </w:rPr>
      </w:pPr>
      <w:r w:rsidRPr="0001068E">
        <w:rPr>
          <w:rFonts w:cs="Arial"/>
        </w:rPr>
        <w:t>Abs. 73: „Oft sind Frauen und Mädchen mit Behinderungen (Art. 6) mehr ausgesondert und isoliert,  und sie erfahren hinsichtlich Wohnort und Wohnverhältnisse stärkere Einschränkungen weil paternalistische Stereotypen  und patriarchale Verhältnisse in der Gesellschaft vorherrschen. Frauen und Mädchen mit Behinderungen erleben auch geschlechtsspezifische, mehrdimensionale und intersektionale Diskriminierung, und sind vermehrt von Zwangseinweisungen, Gewalt und Missbrauch, einschließlich sexueller Gewalt und sexueller Belästigung betroffen. (….) Deshalb sollte bei der Umsetzung des Rechts auf unabhängige Lebensführung und Einbeziehung in die Gemeinschaft die Gleichstellung der Geschlechter, die Abschaffung geschlechtsbasierter Diskriminierung und patriarchaler Verhälnisse besonders beachtet werden.“</w:t>
      </w:r>
    </w:p>
    <w:p w:rsidR="00DB3F04" w:rsidRPr="0001068E" w:rsidRDefault="00DB3F04" w:rsidP="0001068E">
      <w:pPr>
        <w:spacing w:line="360" w:lineRule="auto"/>
        <w:rPr>
          <w:rFonts w:cs="Arial"/>
        </w:rPr>
      </w:pPr>
    </w:p>
    <w:p w:rsidR="00711E44" w:rsidRPr="0001068E" w:rsidRDefault="00711E44" w:rsidP="0001068E">
      <w:pPr>
        <w:spacing w:line="360" w:lineRule="auto"/>
        <w:rPr>
          <w:rFonts w:cs="Arial"/>
        </w:rPr>
      </w:pPr>
      <w:r w:rsidRPr="0001068E">
        <w:rPr>
          <w:rFonts w:cs="Arial"/>
        </w:rPr>
        <w:t>Abs. 74–76</w:t>
      </w:r>
    </w:p>
    <w:bookmarkEnd w:id="0"/>
    <w:p w:rsidR="00711E44" w:rsidRPr="0001068E" w:rsidRDefault="00711E44" w:rsidP="0001068E">
      <w:pPr>
        <w:spacing w:line="360" w:lineRule="auto"/>
        <w:rPr>
          <w:rFonts w:cs="Arial"/>
        </w:rPr>
      </w:pPr>
    </w:p>
    <w:sectPr w:rsidR="00711E44" w:rsidRPr="0001068E" w:rsidSect="0030584D">
      <w:headerReference w:type="default" r:id="rId7"/>
      <w:footerReference w:type="default" r:id="rId8"/>
      <w:pgSz w:w="11906" w:h="16838"/>
      <w:pgMar w:top="1417" w:right="1417" w:bottom="1134" w:left="1417" w:header="708" w:footer="567"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B25BF" w:rsidRDefault="000B25BF" w:rsidP="00711E44">
      <w:pPr>
        <w:spacing w:line="240" w:lineRule="auto"/>
      </w:pPr>
      <w:r>
        <w:separator/>
      </w:r>
    </w:p>
  </w:endnote>
  <w:endnote w:type="continuationSeparator" w:id="0">
    <w:p w:rsidR="000B25BF" w:rsidRDefault="000B25BF" w:rsidP="00711E44">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584D" w:rsidRDefault="0030584D">
    <w:pPr>
      <w:pStyle w:val="Fuzeile"/>
    </w:pPr>
    <w:r>
      <w:rPr>
        <w:noProof/>
        <w:lang w:eastAsia="de-DE"/>
      </w:rPr>
      <w:drawing>
        <wp:inline distT="0" distB="0" distL="0" distR="0">
          <wp:extent cx="2710502" cy="429940"/>
          <wp:effectExtent l="19050" t="0" r="0" b="0"/>
          <wp:docPr id="3" name="Grafik 2" descr="Förderlogo ESF und MAGS NR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komplett neu farbig IKSL.jpg"/>
                  <pic:cNvPicPr/>
                </pic:nvPicPr>
                <pic:blipFill>
                  <a:blip r:embed="rId1"/>
                  <a:stretch>
                    <a:fillRect/>
                  </a:stretch>
                </pic:blipFill>
                <pic:spPr>
                  <a:xfrm>
                    <a:off x="0" y="0"/>
                    <a:ext cx="2716832" cy="430944"/>
                  </a:xfrm>
                  <a:prstGeom prst="rect">
                    <a:avLst/>
                  </a:prstGeom>
                </pic:spPr>
              </pic:pic>
            </a:graphicData>
          </a:graphic>
        </wp:inline>
      </w:drawing>
    </w:r>
    <w:r>
      <w:t xml:space="preserve"> </w:t>
    </w:r>
    <w:r>
      <w:rPr>
        <w:noProof/>
        <w:lang w:eastAsia="de-DE"/>
      </w:rPr>
      <w:drawing>
        <wp:inline distT="0" distB="0" distL="0" distR="0">
          <wp:extent cx="2069057" cy="349019"/>
          <wp:effectExtent l="19050" t="0" r="7393" b="0"/>
          <wp:docPr id="4" name="Bild 1" descr="Logo EvH RWL und BODY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ranziska Witzmann\Dropbox\AKTIF\BODYS\Logo Evh und Bodys\EVH_Bodys_Logo.png"/>
                  <pic:cNvPicPr>
                    <a:picLocks noChangeAspect="1" noChangeArrowheads="1"/>
                  </pic:cNvPicPr>
                </pic:nvPicPr>
                <pic:blipFill>
                  <a:blip r:embed="rId2"/>
                  <a:srcRect/>
                  <a:stretch>
                    <a:fillRect/>
                  </a:stretch>
                </pic:blipFill>
                <pic:spPr bwMode="auto">
                  <a:xfrm>
                    <a:off x="0" y="0"/>
                    <a:ext cx="2090527" cy="352641"/>
                  </a:xfrm>
                  <a:prstGeom prst="rect">
                    <a:avLst/>
                  </a:prstGeom>
                  <a:noFill/>
                  <a:ln w="9525">
                    <a:noFill/>
                    <a:miter lim="800000"/>
                    <a:headEnd/>
                    <a:tailEnd/>
                  </a:ln>
                </pic:spPr>
              </pic:pic>
            </a:graphicData>
          </a:graphic>
        </wp:inline>
      </w:drawing>
    </w:r>
    <w:r>
      <w:t xml:space="preserve"> </w:t>
    </w:r>
    <w:r>
      <w:tab/>
    </w:r>
    <w:fldSimple w:instr=" PAGE   \* MERGEFORMAT ">
      <w:r>
        <w:rPr>
          <w:noProof/>
        </w:rPr>
        <w:t>9</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B25BF" w:rsidRDefault="000B25BF" w:rsidP="00711E44">
      <w:pPr>
        <w:spacing w:line="240" w:lineRule="auto"/>
      </w:pPr>
      <w:r>
        <w:separator/>
      </w:r>
    </w:p>
  </w:footnote>
  <w:footnote w:type="continuationSeparator" w:id="0">
    <w:p w:rsidR="000B25BF" w:rsidRDefault="000B25BF" w:rsidP="00711E44">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1E44" w:rsidRDefault="00711E44">
    <w:pPr>
      <w:pStyle w:val="Kopfzeile"/>
    </w:pPr>
    <w:r>
      <w:t>Arbeitsblatt "Vorurteile Selbstbestimmt Leben 2–8"</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FB1496"/>
    <w:multiLevelType w:val="hybridMultilevel"/>
    <w:tmpl w:val="0986D85C"/>
    <w:lvl w:ilvl="0" w:tplc="EFCE3760">
      <w:start w:val="1"/>
      <w:numFmt w:val="decimal"/>
      <w:lvlText w:val="%1."/>
      <w:lvlJc w:val="left"/>
      <w:pPr>
        <w:tabs>
          <w:tab w:val="num" w:pos="720"/>
        </w:tabs>
        <w:ind w:left="720" w:hanging="360"/>
      </w:pPr>
    </w:lvl>
    <w:lvl w:ilvl="1" w:tplc="EC5E5176" w:tentative="1">
      <w:start w:val="1"/>
      <w:numFmt w:val="decimal"/>
      <w:lvlText w:val="%2."/>
      <w:lvlJc w:val="left"/>
      <w:pPr>
        <w:tabs>
          <w:tab w:val="num" w:pos="1440"/>
        </w:tabs>
        <w:ind w:left="1440" w:hanging="360"/>
      </w:pPr>
    </w:lvl>
    <w:lvl w:ilvl="2" w:tplc="8FB6D2B2" w:tentative="1">
      <w:start w:val="1"/>
      <w:numFmt w:val="decimal"/>
      <w:lvlText w:val="%3."/>
      <w:lvlJc w:val="left"/>
      <w:pPr>
        <w:tabs>
          <w:tab w:val="num" w:pos="2160"/>
        </w:tabs>
        <w:ind w:left="2160" w:hanging="360"/>
      </w:pPr>
    </w:lvl>
    <w:lvl w:ilvl="3" w:tplc="931AE922" w:tentative="1">
      <w:start w:val="1"/>
      <w:numFmt w:val="decimal"/>
      <w:lvlText w:val="%4."/>
      <w:lvlJc w:val="left"/>
      <w:pPr>
        <w:tabs>
          <w:tab w:val="num" w:pos="2880"/>
        </w:tabs>
        <w:ind w:left="2880" w:hanging="360"/>
      </w:pPr>
    </w:lvl>
    <w:lvl w:ilvl="4" w:tplc="791E1832" w:tentative="1">
      <w:start w:val="1"/>
      <w:numFmt w:val="decimal"/>
      <w:lvlText w:val="%5."/>
      <w:lvlJc w:val="left"/>
      <w:pPr>
        <w:tabs>
          <w:tab w:val="num" w:pos="3600"/>
        </w:tabs>
        <w:ind w:left="3600" w:hanging="360"/>
      </w:pPr>
    </w:lvl>
    <w:lvl w:ilvl="5" w:tplc="BF245162" w:tentative="1">
      <w:start w:val="1"/>
      <w:numFmt w:val="decimal"/>
      <w:lvlText w:val="%6."/>
      <w:lvlJc w:val="left"/>
      <w:pPr>
        <w:tabs>
          <w:tab w:val="num" w:pos="4320"/>
        </w:tabs>
        <w:ind w:left="4320" w:hanging="360"/>
      </w:pPr>
    </w:lvl>
    <w:lvl w:ilvl="6" w:tplc="79A8AF50" w:tentative="1">
      <w:start w:val="1"/>
      <w:numFmt w:val="decimal"/>
      <w:lvlText w:val="%7."/>
      <w:lvlJc w:val="left"/>
      <w:pPr>
        <w:tabs>
          <w:tab w:val="num" w:pos="5040"/>
        </w:tabs>
        <w:ind w:left="5040" w:hanging="360"/>
      </w:pPr>
    </w:lvl>
    <w:lvl w:ilvl="7" w:tplc="FCF005EC" w:tentative="1">
      <w:start w:val="1"/>
      <w:numFmt w:val="decimal"/>
      <w:lvlText w:val="%8."/>
      <w:lvlJc w:val="left"/>
      <w:pPr>
        <w:tabs>
          <w:tab w:val="num" w:pos="5760"/>
        </w:tabs>
        <w:ind w:left="5760" w:hanging="360"/>
      </w:pPr>
    </w:lvl>
    <w:lvl w:ilvl="8" w:tplc="8FDA2940"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rsids>
    <w:rsidRoot w:val="00711E44"/>
    <w:rsid w:val="000059FF"/>
    <w:rsid w:val="0001068E"/>
    <w:rsid w:val="000B25BF"/>
    <w:rsid w:val="000C189F"/>
    <w:rsid w:val="0030584D"/>
    <w:rsid w:val="003C35CA"/>
    <w:rsid w:val="00566C0C"/>
    <w:rsid w:val="005E7D09"/>
    <w:rsid w:val="005F4E2B"/>
    <w:rsid w:val="00662842"/>
    <w:rsid w:val="00711E44"/>
    <w:rsid w:val="00832905"/>
    <w:rsid w:val="008A221E"/>
    <w:rsid w:val="00AD47F6"/>
    <w:rsid w:val="00AF7E89"/>
    <w:rsid w:val="00D84023"/>
    <w:rsid w:val="00DB3F04"/>
    <w:rsid w:val="00EA76FF"/>
  </w:rsids>
  <m:mathPr>
    <m:mathFont m:val="Cambria Math"/>
    <m:brkBin m:val="before"/>
    <m:brkBinSub m:val="--"/>
    <m:smallFrac m:val="off"/>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832905"/>
    <w:pPr>
      <w:spacing w:after="0"/>
    </w:pPr>
    <w:rPr>
      <w:rFonts w:ascii="Arial" w:hAnsi="Arial"/>
    </w:rPr>
  </w:style>
  <w:style w:type="paragraph" w:styleId="berschrift1">
    <w:name w:val="heading 1"/>
    <w:basedOn w:val="Standard"/>
    <w:next w:val="Standard"/>
    <w:link w:val="berschrift1Zchn"/>
    <w:uiPriority w:val="9"/>
    <w:qFormat/>
    <w:rsid w:val="00AF7E89"/>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semiHidden/>
    <w:unhideWhenUsed/>
    <w:rsid w:val="00711E44"/>
    <w:pPr>
      <w:tabs>
        <w:tab w:val="center" w:pos="4536"/>
        <w:tab w:val="right" w:pos="9072"/>
      </w:tabs>
      <w:spacing w:line="240" w:lineRule="auto"/>
    </w:pPr>
  </w:style>
  <w:style w:type="character" w:customStyle="1" w:styleId="KopfzeileZchn">
    <w:name w:val="Kopfzeile Zchn"/>
    <w:basedOn w:val="Absatz-Standardschriftart"/>
    <w:link w:val="Kopfzeile"/>
    <w:uiPriority w:val="99"/>
    <w:semiHidden/>
    <w:rsid w:val="00711E44"/>
    <w:rPr>
      <w:rFonts w:ascii="Arial" w:hAnsi="Arial"/>
    </w:rPr>
  </w:style>
  <w:style w:type="paragraph" w:styleId="Fuzeile">
    <w:name w:val="footer"/>
    <w:basedOn w:val="Standard"/>
    <w:link w:val="FuzeileZchn"/>
    <w:uiPriority w:val="99"/>
    <w:unhideWhenUsed/>
    <w:rsid w:val="00711E44"/>
    <w:pPr>
      <w:tabs>
        <w:tab w:val="center" w:pos="4536"/>
        <w:tab w:val="right" w:pos="9072"/>
      </w:tabs>
      <w:spacing w:line="240" w:lineRule="auto"/>
    </w:pPr>
  </w:style>
  <w:style w:type="character" w:customStyle="1" w:styleId="FuzeileZchn">
    <w:name w:val="Fußzeile Zchn"/>
    <w:basedOn w:val="Absatz-Standardschriftart"/>
    <w:link w:val="Fuzeile"/>
    <w:uiPriority w:val="99"/>
    <w:rsid w:val="00711E44"/>
    <w:rPr>
      <w:rFonts w:ascii="Arial" w:hAnsi="Arial"/>
    </w:rPr>
  </w:style>
  <w:style w:type="character" w:customStyle="1" w:styleId="berschrift1Zchn">
    <w:name w:val="Überschrift 1 Zchn"/>
    <w:basedOn w:val="Absatz-Standardschriftart"/>
    <w:link w:val="berschrift1"/>
    <w:uiPriority w:val="9"/>
    <w:rsid w:val="00AF7E89"/>
    <w:rPr>
      <w:rFonts w:asciiTheme="majorHAnsi" w:eastAsiaTheme="majorEastAsia" w:hAnsiTheme="majorHAnsi" w:cstheme="majorBidi"/>
      <w:color w:val="365F91" w:themeColor="accent1" w:themeShade="BF"/>
      <w:sz w:val="32"/>
      <w:szCs w:val="32"/>
    </w:rPr>
  </w:style>
  <w:style w:type="paragraph" w:styleId="Sprechblasentext">
    <w:name w:val="Balloon Text"/>
    <w:basedOn w:val="Standard"/>
    <w:link w:val="SprechblasentextZchn"/>
    <w:uiPriority w:val="99"/>
    <w:semiHidden/>
    <w:unhideWhenUsed/>
    <w:rsid w:val="0030584D"/>
    <w:pPr>
      <w:spacing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30584D"/>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8872691">
      <w:bodyDiv w:val="1"/>
      <w:marLeft w:val="0"/>
      <w:marRight w:val="0"/>
      <w:marTop w:val="0"/>
      <w:marBottom w:val="0"/>
      <w:divBdr>
        <w:top w:val="none" w:sz="0" w:space="0" w:color="auto"/>
        <w:left w:val="none" w:sz="0" w:space="0" w:color="auto"/>
        <w:bottom w:val="none" w:sz="0" w:space="0" w:color="auto"/>
        <w:right w:val="none" w:sz="0" w:space="0" w:color="auto"/>
      </w:divBdr>
    </w:div>
    <w:div w:id="13961758">
      <w:bodyDiv w:val="1"/>
      <w:marLeft w:val="0"/>
      <w:marRight w:val="0"/>
      <w:marTop w:val="0"/>
      <w:marBottom w:val="0"/>
      <w:divBdr>
        <w:top w:val="none" w:sz="0" w:space="0" w:color="auto"/>
        <w:left w:val="none" w:sz="0" w:space="0" w:color="auto"/>
        <w:bottom w:val="none" w:sz="0" w:space="0" w:color="auto"/>
        <w:right w:val="none" w:sz="0" w:space="0" w:color="auto"/>
      </w:divBdr>
    </w:div>
    <w:div w:id="17632810">
      <w:bodyDiv w:val="1"/>
      <w:marLeft w:val="0"/>
      <w:marRight w:val="0"/>
      <w:marTop w:val="0"/>
      <w:marBottom w:val="0"/>
      <w:divBdr>
        <w:top w:val="none" w:sz="0" w:space="0" w:color="auto"/>
        <w:left w:val="none" w:sz="0" w:space="0" w:color="auto"/>
        <w:bottom w:val="none" w:sz="0" w:space="0" w:color="auto"/>
        <w:right w:val="none" w:sz="0" w:space="0" w:color="auto"/>
      </w:divBdr>
    </w:div>
    <w:div w:id="38285402">
      <w:bodyDiv w:val="1"/>
      <w:marLeft w:val="0"/>
      <w:marRight w:val="0"/>
      <w:marTop w:val="0"/>
      <w:marBottom w:val="0"/>
      <w:divBdr>
        <w:top w:val="none" w:sz="0" w:space="0" w:color="auto"/>
        <w:left w:val="none" w:sz="0" w:space="0" w:color="auto"/>
        <w:bottom w:val="none" w:sz="0" w:space="0" w:color="auto"/>
        <w:right w:val="none" w:sz="0" w:space="0" w:color="auto"/>
      </w:divBdr>
    </w:div>
    <w:div w:id="85855977">
      <w:bodyDiv w:val="1"/>
      <w:marLeft w:val="0"/>
      <w:marRight w:val="0"/>
      <w:marTop w:val="0"/>
      <w:marBottom w:val="0"/>
      <w:divBdr>
        <w:top w:val="none" w:sz="0" w:space="0" w:color="auto"/>
        <w:left w:val="none" w:sz="0" w:space="0" w:color="auto"/>
        <w:bottom w:val="none" w:sz="0" w:space="0" w:color="auto"/>
        <w:right w:val="none" w:sz="0" w:space="0" w:color="auto"/>
      </w:divBdr>
    </w:div>
    <w:div w:id="191379077">
      <w:bodyDiv w:val="1"/>
      <w:marLeft w:val="0"/>
      <w:marRight w:val="0"/>
      <w:marTop w:val="0"/>
      <w:marBottom w:val="0"/>
      <w:divBdr>
        <w:top w:val="none" w:sz="0" w:space="0" w:color="auto"/>
        <w:left w:val="none" w:sz="0" w:space="0" w:color="auto"/>
        <w:bottom w:val="none" w:sz="0" w:space="0" w:color="auto"/>
        <w:right w:val="none" w:sz="0" w:space="0" w:color="auto"/>
      </w:divBdr>
    </w:div>
    <w:div w:id="270473709">
      <w:bodyDiv w:val="1"/>
      <w:marLeft w:val="0"/>
      <w:marRight w:val="0"/>
      <w:marTop w:val="0"/>
      <w:marBottom w:val="0"/>
      <w:divBdr>
        <w:top w:val="none" w:sz="0" w:space="0" w:color="auto"/>
        <w:left w:val="none" w:sz="0" w:space="0" w:color="auto"/>
        <w:bottom w:val="none" w:sz="0" w:space="0" w:color="auto"/>
        <w:right w:val="none" w:sz="0" w:space="0" w:color="auto"/>
      </w:divBdr>
    </w:div>
    <w:div w:id="342560843">
      <w:bodyDiv w:val="1"/>
      <w:marLeft w:val="0"/>
      <w:marRight w:val="0"/>
      <w:marTop w:val="0"/>
      <w:marBottom w:val="0"/>
      <w:divBdr>
        <w:top w:val="none" w:sz="0" w:space="0" w:color="auto"/>
        <w:left w:val="none" w:sz="0" w:space="0" w:color="auto"/>
        <w:bottom w:val="none" w:sz="0" w:space="0" w:color="auto"/>
        <w:right w:val="none" w:sz="0" w:space="0" w:color="auto"/>
      </w:divBdr>
    </w:div>
    <w:div w:id="477066073">
      <w:bodyDiv w:val="1"/>
      <w:marLeft w:val="0"/>
      <w:marRight w:val="0"/>
      <w:marTop w:val="0"/>
      <w:marBottom w:val="0"/>
      <w:divBdr>
        <w:top w:val="none" w:sz="0" w:space="0" w:color="auto"/>
        <w:left w:val="none" w:sz="0" w:space="0" w:color="auto"/>
        <w:bottom w:val="none" w:sz="0" w:space="0" w:color="auto"/>
        <w:right w:val="none" w:sz="0" w:space="0" w:color="auto"/>
      </w:divBdr>
    </w:div>
    <w:div w:id="500004235">
      <w:bodyDiv w:val="1"/>
      <w:marLeft w:val="0"/>
      <w:marRight w:val="0"/>
      <w:marTop w:val="0"/>
      <w:marBottom w:val="0"/>
      <w:divBdr>
        <w:top w:val="none" w:sz="0" w:space="0" w:color="auto"/>
        <w:left w:val="none" w:sz="0" w:space="0" w:color="auto"/>
        <w:bottom w:val="none" w:sz="0" w:space="0" w:color="auto"/>
        <w:right w:val="none" w:sz="0" w:space="0" w:color="auto"/>
      </w:divBdr>
    </w:div>
    <w:div w:id="663438828">
      <w:bodyDiv w:val="1"/>
      <w:marLeft w:val="0"/>
      <w:marRight w:val="0"/>
      <w:marTop w:val="0"/>
      <w:marBottom w:val="0"/>
      <w:divBdr>
        <w:top w:val="none" w:sz="0" w:space="0" w:color="auto"/>
        <w:left w:val="none" w:sz="0" w:space="0" w:color="auto"/>
        <w:bottom w:val="none" w:sz="0" w:space="0" w:color="auto"/>
        <w:right w:val="none" w:sz="0" w:space="0" w:color="auto"/>
      </w:divBdr>
    </w:div>
    <w:div w:id="674570817">
      <w:bodyDiv w:val="1"/>
      <w:marLeft w:val="0"/>
      <w:marRight w:val="0"/>
      <w:marTop w:val="0"/>
      <w:marBottom w:val="0"/>
      <w:divBdr>
        <w:top w:val="none" w:sz="0" w:space="0" w:color="auto"/>
        <w:left w:val="none" w:sz="0" w:space="0" w:color="auto"/>
        <w:bottom w:val="none" w:sz="0" w:space="0" w:color="auto"/>
        <w:right w:val="none" w:sz="0" w:space="0" w:color="auto"/>
      </w:divBdr>
    </w:div>
    <w:div w:id="747457358">
      <w:bodyDiv w:val="1"/>
      <w:marLeft w:val="0"/>
      <w:marRight w:val="0"/>
      <w:marTop w:val="0"/>
      <w:marBottom w:val="0"/>
      <w:divBdr>
        <w:top w:val="none" w:sz="0" w:space="0" w:color="auto"/>
        <w:left w:val="none" w:sz="0" w:space="0" w:color="auto"/>
        <w:bottom w:val="none" w:sz="0" w:space="0" w:color="auto"/>
        <w:right w:val="none" w:sz="0" w:space="0" w:color="auto"/>
      </w:divBdr>
    </w:div>
    <w:div w:id="751049448">
      <w:bodyDiv w:val="1"/>
      <w:marLeft w:val="0"/>
      <w:marRight w:val="0"/>
      <w:marTop w:val="0"/>
      <w:marBottom w:val="0"/>
      <w:divBdr>
        <w:top w:val="none" w:sz="0" w:space="0" w:color="auto"/>
        <w:left w:val="none" w:sz="0" w:space="0" w:color="auto"/>
        <w:bottom w:val="none" w:sz="0" w:space="0" w:color="auto"/>
        <w:right w:val="none" w:sz="0" w:space="0" w:color="auto"/>
      </w:divBdr>
    </w:div>
    <w:div w:id="797334124">
      <w:bodyDiv w:val="1"/>
      <w:marLeft w:val="0"/>
      <w:marRight w:val="0"/>
      <w:marTop w:val="0"/>
      <w:marBottom w:val="0"/>
      <w:divBdr>
        <w:top w:val="none" w:sz="0" w:space="0" w:color="auto"/>
        <w:left w:val="none" w:sz="0" w:space="0" w:color="auto"/>
        <w:bottom w:val="none" w:sz="0" w:space="0" w:color="auto"/>
        <w:right w:val="none" w:sz="0" w:space="0" w:color="auto"/>
      </w:divBdr>
    </w:div>
    <w:div w:id="968901778">
      <w:bodyDiv w:val="1"/>
      <w:marLeft w:val="0"/>
      <w:marRight w:val="0"/>
      <w:marTop w:val="0"/>
      <w:marBottom w:val="0"/>
      <w:divBdr>
        <w:top w:val="none" w:sz="0" w:space="0" w:color="auto"/>
        <w:left w:val="none" w:sz="0" w:space="0" w:color="auto"/>
        <w:bottom w:val="none" w:sz="0" w:space="0" w:color="auto"/>
        <w:right w:val="none" w:sz="0" w:space="0" w:color="auto"/>
      </w:divBdr>
    </w:div>
    <w:div w:id="1000694738">
      <w:bodyDiv w:val="1"/>
      <w:marLeft w:val="0"/>
      <w:marRight w:val="0"/>
      <w:marTop w:val="0"/>
      <w:marBottom w:val="0"/>
      <w:divBdr>
        <w:top w:val="none" w:sz="0" w:space="0" w:color="auto"/>
        <w:left w:val="none" w:sz="0" w:space="0" w:color="auto"/>
        <w:bottom w:val="none" w:sz="0" w:space="0" w:color="auto"/>
        <w:right w:val="none" w:sz="0" w:space="0" w:color="auto"/>
      </w:divBdr>
    </w:div>
    <w:div w:id="1176115052">
      <w:bodyDiv w:val="1"/>
      <w:marLeft w:val="0"/>
      <w:marRight w:val="0"/>
      <w:marTop w:val="0"/>
      <w:marBottom w:val="0"/>
      <w:divBdr>
        <w:top w:val="none" w:sz="0" w:space="0" w:color="auto"/>
        <w:left w:val="none" w:sz="0" w:space="0" w:color="auto"/>
        <w:bottom w:val="none" w:sz="0" w:space="0" w:color="auto"/>
        <w:right w:val="none" w:sz="0" w:space="0" w:color="auto"/>
      </w:divBdr>
    </w:div>
    <w:div w:id="1245188579">
      <w:bodyDiv w:val="1"/>
      <w:marLeft w:val="0"/>
      <w:marRight w:val="0"/>
      <w:marTop w:val="0"/>
      <w:marBottom w:val="0"/>
      <w:divBdr>
        <w:top w:val="none" w:sz="0" w:space="0" w:color="auto"/>
        <w:left w:val="none" w:sz="0" w:space="0" w:color="auto"/>
        <w:bottom w:val="none" w:sz="0" w:space="0" w:color="auto"/>
        <w:right w:val="none" w:sz="0" w:space="0" w:color="auto"/>
      </w:divBdr>
    </w:div>
    <w:div w:id="1279332134">
      <w:bodyDiv w:val="1"/>
      <w:marLeft w:val="0"/>
      <w:marRight w:val="0"/>
      <w:marTop w:val="0"/>
      <w:marBottom w:val="0"/>
      <w:divBdr>
        <w:top w:val="none" w:sz="0" w:space="0" w:color="auto"/>
        <w:left w:val="none" w:sz="0" w:space="0" w:color="auto"/>
        <w:bottom w:val="none" w:sz="0" w:space="0" w:color="auto"/>
        <w:right w:val="none" w:sz="0" w:space="0" w:color="auto"/>
      </w:divBdr>
    </w:div>
    <w:div w:id="1289317266">
      <w:bodyDiv w:val="1"/>
      <w:marLeft w:val="0"/>
      <w:marRight w:val="0"/>
      <w:marTop w:val="0"/>
      <w:marBottom w:val="0"/>
      <w:divBdr>
        <w:top w:val="none" w:sz="0" w:space="0" w:color="auto"/>
        <w:left w:val="none" w:sz="0" w:space="0" w:color="auto"/>
        <w:bottom w:val="none" w:sz="0" w:space="0" w:color="auto"/>
        <w:right w:val="none" w:sz="0" w:space="0" w:color="auto"/>
      </w:divBdr>
    </w:div>
    <w:div w:id="1490055001">
      <w:bodyDiv w:val="1"/>
      <w:marLeft w:val="0"/>
      <w:marRight w:val="0"/>
      <w:marTop w:val="0"/>
      <w:marBottom w:val="0"/>
      <w:divBdr>
        <w:top w:val="none" w:sz="0" w:space="0" w:color="auto"/>
        <w:left w:val="none" w:sz="0" w:space="0" w:color="auto"/>
        <w:bottom w:val="none" w:sz="0" w:space="0" w:color="auto"/>
        <w:right w:val="none" w:sz="0" w:space="0" w:color="auto"/>
      </w:divBdr>
    </w:div>
    <w:div w:id="1490364595">
      <w:bodyDiv w:val="1"/>
      <w:marLeft w:val="0"/>
      <w:marRight w:val="0"/>
      <w:marTop w:val="0"/>
      <w:marBottom w:val="0"/>
      <w:divBdr>
        <w:top w:val="none" w:sz="0" w:space="0" w:color="auto"/>
        <w:left w:val="none" w:sz="0" w:space="0" w:color="auto"/>
        <w:bottom w:val="none" w:sz="0" w:space="0" w:color="auto"/>
        <w:right w:val="none" w:sz="0" w:space="0" w:color="auto"/>
      </w:divBdr>
    </w:div>
    <w:div w:id="1605764250">
      <w:bodyDiv w:val="1"/>
      <w:marLeft w:val="0"/>
      <w:marRight w:val="0"/>
      <w:marTop w:val="0"/>
      <w:marBottom w:val="0"/>
      <w:divBdr>
        <w:top w:val="none" w:sz="0" w:space="0" w:color="auto"/>
        <w:left w:val="none" w:sz="0" w:space="0" w:color="auto"/>
        <w:bottom w:val="none" w:sz="0" w:space="0" w:color="auto"/>
        <w:right w:val="none" w:sz="0" w:space="0" w:color="auto"/>
      </w:divBdr>
    </w:div>
    <w:div w:id="1828277333">
      <w:bodyDiv w:val="1"/>
      <w:marLeft w:val="0"/>
      <w:marRight w:val="0"/>
      <w:marTop w:val="0"/>
      <w:marBottom w:val="0"/>
      <w:divBdr>
        <w:top w:val="none" w:sz="0" w:space="0" w:color="auto"/>
        <w:left w:val="none" w:sz="0" w:space="0" w:color="auto"/>
        <w:bottom w:val="none" w:sz="0" w:space="0" w:color="auto"/>
        <w:right w:val="none" w:sz="0" w:space="0" w:color="auto"/>
      </w:divBdr>
      <w:divsChild>
        <w:div w:id="1896114455">
          <w:marLeft w:val="0"/>
          <w:marRight w:val="0"/>
          <w:marTop w:val="77"/>
          <w:marBottom w:val="0"/>
          <w:divBdr>
            <w:top w:val="none" w:sz="0" w:space="0" w:color="auto"/>
            <w:left w:val="none" w:sz="0" w:space="0" w:color="auto"/>
            <w:bottom w:val="none" w:sz="0" w:space="0" w:color="auto"/>
            <w:right w:val="none" w:sz="0" w:space="0" w:color="auto"/>
          </w:divBdr>
        </w:div>
        <w:div w:id="1300915438">
          <w:marLeft w:val="0"/>
          <w:marRight w:val="0"/>
          <w:marTop w:val="77"/>
          <w:marBottom w:val="0"/>
          <w:divBdr>
            <w:top w:val="none" w:sz="0" w:space="0" w:color="auto"/>
            <w:left w:val="none" w:sz="0" w:space="0" w:color="auto"/>
            <w:bottom w:val="none" w:sz="0" w:space="0" w:color="auto"/>
            <w:right w:val="none" w:sz="0" w:space="0" w:color="auto"/>
          </w:divBdr>
        </w:div>
        <w:div w:id="773016053">
          <w:marLeft w:val="0"/>
          <w:marRight w:val="0"/>
          <w:marTop w:val="77"/>
          <w:marBottom w:val="0"/>
          <w:divBdr>
            <w:top w:val="none" w:sz="0" w:space="0" w:color="auto"/>
            <w:left w:val="none" w:sz="0" w:space="0" w:color="auto"/>
            <w:bottom w:val="none" w:sz="0" w:space="0" w:color="auto"/>
            <w:right w:val="none" w:sz="0" w:space="0" w:color="auto"/>
          </w:divBdr>
        </w:div>
        <w:div w:id="1803884502">
          <w:marLeft w:val="0"/>
          <w:marRight w:val="0"/>
          <w:marTop w:val="77"/>
          <w:marBottom w:val="0"/>
          <w:divBdr>
            <w:top w:val="none" w:sz="0" w:space="0" w:color="auto"/>
            <w:left w:val="none" w:sz="0" w:space="0" w:color="auto"/>
            <w:bottom w:val="none" w:sz="0" w:space="0" w:color="auto"/>
            <w:right w:val="none" w:sz="0" w:space="0" w:color="auto"/>
          </w:divBdr>
        </w:div>
        <w:div w:id="2109421036">
          <w:marLeft w:val="0"/>
          <w:marRight w:val="0"/>
          <w:marTop w:val="77"/>
          <w:marBottom w:val="0"/>
          <w:divBdr>
            <w:top w:val="none" w:sz="0" w:space="0" w:color="auto"/>
            <w:left w:val="none" w:sz="0" w:space="0" w:color="auto"/>
            <w:bottom w:val="none" w:sz="0" w:space="0" w:color="auto"/>
            <w:right w:val="none" w:sz="0" w:space="0" w:color="auto"/>
          </w:divBdr>
        </w:div>
        <w:div w:id="1162506737">
          <w:marLeft w:val="0"/>
          <w:marRight w:val="0"/>
          <w:marTop w:val="77"/>
          <w:marBottom w:val="0"/>
          <w:divBdr>
            <w:top w:val="none" w:sz="0" w:space="0" w:color="auto"/>
            <w:left w:val="none" w:sz="0" w:space="0" w:color="auto"/>
            <w:bottom w:val="none" w:sz="0" w:space="0" w:color="auto"/>
            <w:right w:val="none" w:sz="0" w:space="0" w:color="auto"/>
          </w:divBdr>
        </w:div>
        <w:div w:id="1451970067">
          <w:marLeft w:val="0"/>
          <w:marRight w:val="0"/>
          <w:marTop w:val="77"/>
          <w:marBottom w:val="0"/>
          <w:divBdr>
            <w:top w:val="none" w:sz="0" w:space="0" w:color="auto"/>
            <w:left w:val="none" w:sz="0" w:space="0" w:color="auto"/>
            <w:bottom w:val="none" w:sz="0" w:space="0" w:color="auto"/>
            <w:right w:val="none" w:sz="0" w:space="0" w:color="auto"/>
          </w:divBdr>
        </w:div>
        <w:div w:id="1406758742">
          <w:marLeft w:val="0"/>
          <w:marRight w:val="0"/>
          <w:marTop w:val="77"/>
          <w:marBottom w:val="0"/>
          <w:divBdr>
            <w:top w:val="none" w:sz="0" w:space="0" w:color="auto"/>
            <w:left w:val="none" w:sz="0" w:space="0" w:color="auto"/>
            <w:bottom w:val="none" w:sz="0" w:space="0" w:color="auto"/>
            <w:right w:val="none" w:sz="0" w:space="0" w:color="auto"/>
          </w:divBdr>
        </w:div>
      </w:divsChild>
    </w:div>
    <w:div w:id="1901282596">
      <w:bodyDiv w:val="1"/>
      <w:marLeft w:val="0"/>
      <w:marRight w:val="0"/>
      <w:marTop w:val="0"/>
      <w:marBottom w:val="0"/>
      <w:divBdr>
        <w:top w:val="none" w:sz="0" w:space="0" w:color="auto"/>
        <w:left w:val="none" w:sz="0" w:space="0" w:color="auto"/>
        <w:bottom w:val="none" w:sz="0" w:space="0" w:color="auto"/>
        <w:right w:val="none" w:sz="0" w:space="0" w:color="auto"/>
      </w:divBdr>
    </w:div>
    <w:div w:id="1903902696">
      <w:bodyDiv w:val="1"/>
      <w:marLeft w:val="0"/>
      <w:marRight w:val="0"/>
      <w:marTop w:val="0"/>
      <w:marBottom w:val="0"/>
      <w:divBdr>
        <w:top w:val="none" w:sz="0" w:space="0" w:color="auto"/>
        <w:left w:val="none" w:sz="0" w:space="0" w:color="auto"/>
        <w:bottom w:val="none" w:sz="0" w:space="0" w:color="auto"/>
        <w:right w:val="none" w:sz="0" w:space="0" w:color="auto"/>
      </w:divBdr>
    </w:div>
    <w:div w:id="1935280078">
      <w:bodyDiv w:val="1"/>
      <w:marLeft w:val="0"/>
      <w:marRight w:val="0"/>
      <w:marTop w:val="0"/>
      <w:marBottom w:val="0"/>
      <w:divBdr>
        <w:top w:val="none" w:sz="0" w:space="0" w:color="auto"/>
        <w:left w:val="none" w:sz="0" w:space="0" w:color="auto"/>
        <w:bottom w:val="none" w:sz="0" w:space="0" w:color="auto"/>
        <w:right w:val="none" w:sz="0" w:space="0" w:color="auto"/>
      </w:divBdr>
    </w:div>
    <w:div w:id="19748245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2126</Words>
  <Characters>13397</Characters>
  <Application>Microsoft Office Word</Application>
  <DocSecurity>0</DocSecurity>
  <Lines>111</Lines>
  <Paragraphs>30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15493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Franziska Witzmann</dc:creator>
  <cp:lastModifiedBy>Franziska Witzmann</cp:lastModifiedBy>
  <cp:revision>7</cp:revision>
  <dcterms:created xsi:type="dcterms:W3CDTF">2018-02-19T14:14:00Z</dcterms:created>
  <dcterms:modified xsi:type="dcterms:W3CDTF">2018-03-01T10:51:00Z</dcterms:modified>
</cp:coreProperties>
</file>