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6FF" w:rsidRPr="0001068E" w:rsidRDefault="00711E44" w:rsidP="0001068E">
      <w:pPr>
        <w:pStyle w:val="berschrift1"/>
        <w:pBdr>
          <w:bottom w:val="single" w:sz="4" w:space="1" w:color="auto"/>
        </w:pBdr>
        <w:spacing w:line="360" w:lineRule="auto"/>
        <w:rPr>
          <w:rFonts w:ascii="Arial" w:hAnsi="Arial" w:cs="Arial"/>
        </w:rPr>
      </w:pPr>
      <w:bookmarkStart w:id="0" w:name="_GoBack"/>
      <w:r w:rsidRPr="0001068E">
        <w:rPr>
          <w:rFonts w:ascii="Arial" w:hAnsi="Arial" w:cs="Arial"/>
        </w:rPr>
        <w:t>Vorurteil 2: Selbstbestimmt Leben ist für einige Behinderte nicht möglich. Wir werden immer Heime brauchen</w:t>
      </w:r>
    </w:p>
    <w:p w:rsidR="005E7D09" w:rsidRPr="0001068E" w:rsidRDefault="005E7D09"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Art. 19 UN BRK </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5E7D09" w:rsidRPr="0001068E" w:rsidRDefault="005E7D09"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Allgemeine Bemerkungen Nr. 5 </w:t>
      </w:r>
    </w:p>
    <w:p w:rsidR="00711E44" w:rsidRPr="0001068E" w:rsidRDefault="00711E44" w:rsidP="0030584D">
      <w:pPr>
        <w:spacing w:after="240" w:line="360" w:lineRule="auto"/>
        <w:rPr>
          <w:rFonts w:cs="Arial"/>
        </w:rPr>
      </w:pPr>
      <w:r w:rsidRPr="0001068E">
        <w:rPr>
          <w:rFonts w:cs="Arial"/>
        </w:rPr>
        <w:t xml:space="preserve">Abs. 20: „…Artikel 19 bezieht sich explizit auf alle Menschen mit Behinderungen. Weder die teilweise oder umfassende Einschränkung der rechtlichen Handlungsfähigkeit, noch das benötigte Maß an Unterstützung dürfen als Gründe angeführt werden, um Menschen mit Behinderungen das Recht auf selbstbestimmtes Leben in der Gemeinschaft zu verweigern oder einzuschränken…“. </w:t>
      </w:r>
    </w:p>
    <w:p w:rsidR="00711E44" w:rsidRPr="0001068E" w:rsidRDefault="00711E44" w:rsidP="0030584D">
      <w:pPr>
        <w:spacing w:after="240" w:line="360" w:lineRule="auto"/>
        <w:rPr>
          <w:rFonts w:cs="Arial"/>
        </w:rPr>
      </w:pPr>
      <w:r w:rsidRPr="0001068E">
        <w:rPr>
          <w:rFonts w:cs="Arial"/>
        </w:rPr>
        <w:t>Abs.17: „… Personen mit komplexen Kommunikationsbedarfen, einschließlich derer, die informelle Mittel der Kommunikation nutzen ( Z.b. Kommunikation ohne Stellvertretung durch Gesichtsausdruck, Körperhaltung, Vokalisierung) müssen angemessene Unterstützung erhalten, damit sie ihre Anweisungen, Entscheidungen, Wahl oder Präferenz vermitteln können und diese anerkannt und respektiert werden.“</w:t>
      </w:r>
    </w:p>
    <w:p w:rsidR="00AD47F6" w:rsidRPr="0001068E" w:rsidRDefault="00711E44" w:rsidP="0001068E">
      <w:pPr>
        <w:spacing w:line="360" w:lineRule="auto"/>
        <w:rPr>
          <w:rFonts w:cs="Arial"/>
          <w:b/>
          <w:bCs/>
        </w:rPr>
      </w:pPr>
      <w:r w:rsidRPr="0001068E">
        <w:rPr>
          <w:rFonts w:cs="Arial"/>
        </w:rPr>
        <w:t>Abs. 21</w:t>
      </w:r>
      <w:r w:rsidR="00DB3F04" w:rsidRPr="0001068E">
        <w:rPr>
          <w:rFonts w:cs="Arial"/>
        </w:rPr>
        <w:t>,</w:t>
      </w:r>
      <w:r w:rsidRPr="0001068E">
        <w:rPr>
          <w:rFonts w:cs="Arial"/>
        </w:rPr>
        <w:t xml:space="preserve"> 36</w:t>
      </w:r>
      <w:r w:rsidR="00AD47F6" w:rsidRPr="0001068E">
        <w:rPr>
          <w:rFonts w:cs="Arial"/>
          <w:b/>
          <w:bCs/>
        </w:rPr>
        <w:br w:type="page"/>
      </w:r>
    </w:p>
    <w:p w:rsidR="00711E44" w:rsidRPr="0001068E" w:rsidRDefault="00711E44" w:rsidP="0001068E">
      <w:pPr>
        <w:pStyle w:val="berschrift1"/>
        <w:pBdr>
          <w:bottom w:val="single" w:sz="4" w:space="1" w:color="auto"/>
        </w:pBdr>
        <w:spacing w:line="360" w:lineRule="auto"/>
        <w:rPr>
          <w:rFonts w:ascii="Arial" w:hAnsi="Arial" w:cs="Arial"/>
        </w:rPr>
      </w:pPr>
      <w:r w:rsidRPr="0001068E">
        <w:rPr>
          <w:rFonts w:ascii="Arial" w:hAnsi="Arial" w:cs="Arial"/>
        </w:rPr>
        <w:lastRenderedPageBreak/>
        <w:t>Vorurteil 3: Selbstbestimmt Leben bedeutet, keine Unterstützung durch Leistungserbringer zu brauchen</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Art. 19 UN BRK </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Allgemeine Bemerkungen Nr. 5 </w:t>
      </w:r>
    </w:p>
    <w:p w:rsidR="00711E44" w:rsidRPr="0001068E" w:rsidRDefault="00711E44" w:rsidP="0001068E">
      <w:pPr>
        <w:spacing w:line="360" w:lineRule="auto"/>
        <w:rPr>
          <w:rFonts w:cs="Arial"/>
        </w:rPr>
      </w:pPr>
      <w:r w:rsidRPr="0001068E">
        <w:rPr>
          <w:rFonts w:cs="Arial"/>
        </w:rPr>
        <w:t>Abs. 28: „… Individuelle Unterstützungsdienste müssen als ein Recht und nicht als medizinische oder soziale Behandlung oder als Almosen betrachtet werden. Für viele Menschen mit Behinderungen ist der Zugang zu einer breiten Palette an individuellen Unterstützungsdiensten Grundvoraussetzung für ein Leben in der Gemeinschaft. Menschen mit Behinderungen haben das Recht, gemäß ihrem individuellen Bedarf und ihren persönlichen Präferenzen aus Diensten und Dienstleistern auszuwählen und Unterstützungsdienste sollten an individuelle Bedarfe angepasst werden und nicht umgekehrt….“</w:t>
      </w:r>
    </w:p>
    <w:p w:rsidR="00DB3F04" w:rsidRPr="0001068E" w:rsidRDefault="00DB3F04" w:rsidP="0001068E">
      <w:pPr>
        <w:spacing w:line="360" w:lineRule="auto"/>
        <w:rPr>
          <w:rFonts w:cs="Arial"/>
        </w:rPr>
      </w:pPr>
    </w:p>
    <w:p w:rsidR="00711E44" w:rsidRPr="0001068E" w:rsidRDefault="00711E44" w:rsidP="0001068E">
      <w:pPr>
        <w:spacing w:line="360" w:lineRule="auto"/>
        <w:rPr>
          <w:rFonts w:cs="Arial"/>
        </w:rPr>
      </w:pPr>
      <w:r w:rsidRPr="0001068E">
        <w:rPr>
          <w:rFonts w:cs="Arial"/>
        </w:rPr>
        <w:t>Abs. 15,16, 83</w:t>
      </w:r>
    </w:p>
    <w:p w:rsidR="00AD47F6" w:rsidRPr="0001068E" w:rsidRDefault="00AD47F6" w:rsidP="0001068E">
      <w:pPr>
        <w:spacing w:after="200" w:line="360" w:lineRule="auto"/>
        <w:rPr>
          <w:rFonts w:cs="Arial"/>
          <w:b/>
          <w:bCs/>
        </w:rPr>
      </w:pPr>
      <w:r w:rsidRPr="0001068E">
        <w:rPr>
          <w:rFonts w:cs="Arial"/>
          <w:b/>
          <w:bCs/>
        </w:rPr>
        <w:br w:type="page"/>
      </w:r>
    </w:p>
    <w:p w:rsidR="00711E44" w:rsidRPr="0001068E" w:rsidRDefault="00711E44" w:rsidP="0001068E">
      <w:pPr>
        <w:pStyle w:val="berschrift1"/>
        <w:pBdr>
          <w:bottom w:val="single" w:sz="4" w:space="1" w:color="auto"/>
        </w:pBdr>
        <w:spacing w:line="360" w:lineRule="auto"/>
        <w:rPr>
          <w:rFonts w:ascii="Arial" w:hAnsi="Arial" w:cs="Arial"/>
        </w:rPr>
      </w:pPr>
      <w:r w:rsidRPr="0001068E">
        <w:rPr>
          <w:rFonts w:ascii="Arial" w:hAnsi="Arial" w:cs="Arial"/>
        </w:rPr>
        <w:lastRenderedPageBreak/>
        <w:t>Vorurteil 4: Selbstbestimmt Leben führt zur Vereinsamung, weil Behinderte ihre Herkunftsfamilie verlassen und alleine leben müssen</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Art. 19 UN BRK </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Allgemeine Bemerkungen Nr. 5 </w:t>
      </w:r>
    </w:p>
    <w:p w:rsidR="00711E44" w:rsidRPr="0001068E" w:rsidRDefault="00711E44" w:rsidP="0001068E">
      <w:pPr>
        <w:spacing w:line="360" w:lineRule="auto"/>
        <w:rPr>
          <w:rFonts w:cs="Arial"/>
        </w:rPr>
      </w:pPr>
      <w:r w:rsidRPr="0001068E">
        <w:rPr>
          <w:rFonts w:cs="Arial"/>
        </w:rPr>
        <w:t>Abs. 16: „ Selbstbestimmt Leben ist ein wesentlicher Teil der individuellen Autonomie und Freiheit und bedeutet nicht automatisch, alleine zu leben…“</w:t>
      </w:r>
    </w:p>
    <w:p w:rsidR="00AD47F6" w:rsidRPr="0001068E" w:rsidRDefault="00AD47F6" w:rsidP="0001068E">
      <w:pPr>
        <w:spacing w:after="200" w:line="360" w:lineRule="auto"/>
        <w:rPr>
          <w:rFonts w:cs="Arial"/>
          <w:b/>
          <w:bCs/>
        </w:rPr>
      </w:pPr>
      <w:r w:rsidRPr="0001068E">
        <w:rPr>
          <w:rFonts w:cs="Arial"/>
          <w:b/>
          <w:bCs/>
        </w:rPr>
        <w:br w:type="page"/>
      </w:r>
    </w:p>
    <w:p w:rsidR="00711E44" w:rsidRPr="0001068E" w:rsidRDefault="00711E44" w:rsidP="0001068E">
      <w:pPr>
        <w:pStyle w:val="berschrift1"/>
        <w:pBdr>
          <w:bottom w:val="single" w:sz="4" w:space="1" w:color="auto"/>
        </w:pBdr>
        <w:spacing w:line="360" w:lineRule="auto"/>
        <w:rPr>
          <w:rFonts w:ascii="Arial" w:hAnsi="Arial" w:cs="Arial"/>
        </w:rPr>
      </w:pPr>
      <w:r w:rsidRPr="0001068E">
        <w:rPr>
          <w:rFonts w:ascii="Arial" w:hAnsi="Arial" w:cs="Arial"/>
        </w:rPr>
        <w:lastRenderedPageBreak/>
        <w:t>Vorurteil 5: SL ist mit zu großen Risiken verbunden. Einige Behinderte brauchen den Schonraum Heim als Schutz vor Ausbeutung, Missbrauch oder Vernachlässigung</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Art. 19 UN BRK</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Allgemeine Bemerkungen Nr. 5 </w:t>
      </w:r>
    </w:p>
    <w:p w:rsidR="00711E44" w:rsidRPr="0001068E" w:rsidRDefault="00711E44" w:rsidP="0001068E">
      <w:pPr>
        <w:spacing w:line="360" w:lineRule="auto"/>
        <w:rPr>
          <w:rFonts w:cs="Arial"/>
        </w:rPr>
      </w:pPr>
      <w:r w:rsidRPr="0001068E">
        <w:rPr>
          <w:rFonts w:cs="Arial"/>
        </w:rPr>
        <w:t>Abs. 49: „ Die Achtung der Rechte aus Art.19 bedeutet, dass Vertragsstaaten Heime abbauen müssen. Vertragsstaaten dürfen weder neue Heime bauen, noch dürfen alte Einrichtungen über das notwendigste Maß der Sicherheitserhaltung für die Bewohner hinaus renoviert werden. Einrichtungen  sollten nicht erweitert werden, neue Bewohner sollten keine frei gewordenen Plätze einnehmen und „Satelliten“- Wohnarrangements, die als Zweig einer Einrichtungen entwickelt werden und die den Anschein individueller Lebensgestaltung haben (Apartments oder Einzelwohnungen) jedoch um Einrichtungen kreisen, sollten nicht geschaffen werden…“</w:t>
      </w:r>
    </w:p>
    <w:p w:rsidR="00DB3F04" w:rsidRPr="0001068E" w:rsidRDefault="00DB3F04" w:rsidP="0001068E">
      <w:pPr>
        <w:spacing w:line="360" w:lineRule="auto"/>
        <w:rPr>
          <w:rFonts w:cs="Arial"/>
        </w:rPr>
      </w:pPr>
    </w:p>
    <w:p w:rsidR="00711E44" w:rsidRPr="0001068E" w:rsidRDefault="00711E44" w:rsidP="0001068E">
      <w:pPr>
        <w:spacing w:line="360" w:lineRule="auto"/>
        <w:rPr>
          <w:rFonts w:cs="Arial"/>
        </w:rPr>
      </w:pPr>
      <w:r w:rsidRPr="0001068E">
        <w:rPr>
          <w:rFonts w:cs="Arial"/>
        </w:rPr>
        <w:t xml:space="preserve">Abs. 84: „ Es ist von höchster Bedeutung sicherzustellen, dass Unterstützungsdienste keinen Raum für potenziellen Missbrauch, Ausbeutung von Menschen mit Behinderungen oder jegliche gegen sie gerichtete Gewalt lassen (Art. 16). Behinderungs-, geschlechts- und </w:t>
      </w:r>
      <w:r w:rsidRPr="0001068E">
        <w:rPr>
          <w:rFonts w:cs="Arial"/>
        </w:rPr>
        <w:lastRenderedPageBreak/>
        <w:t>altersspezifische Monitoringinstrumente, Rechtsbehelfe und Hilfe müssen allen Menschen mit Behinderungen, die die nach Art. 19 vorgeschriebenen Dienste nutzen, und die von Missbrauch, Gewalt und Ausbeutung betroffen sein können, zur Verfügung stehen….“</w:t>
      </w:r>
    </w:p>
    <w:p w:rsidR="00AD47F6" w:rsidRPr="0001068E" w:rsidRDefault="00AD47F6" w:rsidP="0001068E">
      <w:pPr>
        <w:spacing w:after="200" w:line="360" w:lineRule="auto"/>
        <w:rPr>
          <w:rFonts w:cs="Arial"/>
          <w:b/>
          <w:bCs/>
        </w:rPr>
      </w:pPr>
      <w:r w:rsidRPr="0001068E">
        <w:rPr>
          <w:rFonts w:cs="Arial"/>
          <w:b/>
          <w:bCs/>
        </w:rPr>
        <w:br w:type="page"/>
      </w:r>
    </w:p>
    <w:p w:rsidR="00711E44" w:rsidRPr="0001068E" w:rsidRDefault="00711E44" w:rsidP="0001068E">
      <w:pPr>
        <w:pStyle w:val="berschrift1"/>
        <w:pBdr>
          <w:bottom w:val="single" w:sz="4" w:space="1" w:color="auto"/>
        </w:pBdr>
        <w:spacing w:line="360" w:lineRule="auto"/>
        <w:rPr>
          <w:rFonts w:ascii="Arial" w:hAnsi="Arial" w:cs="Arial"/>
        </w:rPr>
      </w:pPr>
      <w:r w:rsidRPr="0001068E">
        <w:rPr>
          <w:rFonts w:ascii="Arial" w:hAnsi="Arial" w:cs="Arial"/>
        </w:rPr>
        <w:lastRenderedPageBreak/>
        <w:t>Vorurteil 6: SL kann durch Wohngruppen und Tageszentren für Behinderte erreicht werden</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Art. 19 UN BRK</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Allgemeine Bemerkungen Nr. 5 </w:t>
      </w:r>
    </w:p>
    <w:p w:rsidR="00711E44" w:rsidRPr="0001068E" w:rsidRDefault="00711E44" w:rsidP="0001068E">
      <w:pPr>
        <w:spacing w:line="360" w:lineRule="auto"/>
        <w:rPr>
          <w:rFonts w:cs="Arial"/>
        </w:rPr>
      </w:pPr>
      <w:r w:rsidRPr="0001068E">
        <w:rPr>
          <w:rFonts w:cs="Arial"/>
        </w:rPr>
        <w:t xml:space="preserve">Abs. 16:“Weder große Einrichtungen mit mehr als hundert Bewohnerinnen und Bewohnern noch kleinere Wohngruppen mit fünf oder acht Personen, oder sogar Einfamilienhäuser können, wenn sie bestimmte einrichtungsspezifische Merkmale aufweisen, als Selbstbestimmtes Leben oder als Form des Lebens in der Gemeinschaft bezeichnet werden. Heime können sich der Größe, dem Namen und der Organisation nach unterscheiden, aber sie zeichnen sich durch folgende Kriterien aus: Verpflichtung zur gemeinsamen Nutzung von Assistenz und keinen oder eingeschränkten Einfluss darauf, von wem Assistenz angenommen werden muss; Isolierung und Absonderung vom selbstbestimmten Leben in der Gemeinschaft; fehlende Selbstbestimmung über alltägliche Entscheidungen; fehlende Wahlfreiheit hinsichtlich der Mitbewohnerinnen und Mitbewohner; starre Abläufe losgelöst von persönlichen Wünschen und Präferenzen; identische Aktivitäten am gleichen Ort für eine Gruppe von Menschen unter der Aufsicht einer Person; ein paternalistischer Ansatz bei der Bereitstellung von Diensten; eine überwachte Form des Wohnens und zusätzlich in vielen </w:t>
      </w:r>
      <w:r w:rsidRPr="0001068E">
        <w:rPr>
          <w:rFonts w:cs="Arial"/>
        </w:rPr>
        <w:lastRenderedPageBreak/>
        <w:t>Fällen eine überdurchschnittlich hohe Anzahl von Personen mit Behinderungen, die im gleichen Umfeld leben….“</w:t>
      </w:r>
    </w:p>
    <w:p w:rsidR="00DB3F04" w:rsidRPr="0001068E" w:rsidRDefault="00DB3F04" w:rsidP="0001068E">
      <w:pPr>
        <w:spacing w:line="360" w:lineRule="auto"/>
        <w:rPr>
          <w:rFonts w:cs="Arial"/>
        </w:rPr>
      </w:pPr>
    </w:p>
    <w:p w:rsidR="00711E44" w:rsidRPr="0001068E" w:rsidRDefault="00711E44" w:rsidP="0001068E">
      <w:pPr>
        <w:spacing w:line="360" w:lineRule="auto"/>
        <w:rPr>
          <w:rFonts w:cs="Arial"/>
        </w:rPr>
      </w:pPr>
      <w:r w:rsidRPr="0001068E">
        <w:rPr>
          <w:rFonts w:cs="Arial"/>
        </w:rPr>
        <w:t>Abs</w:t>
      </w:r>
      <w:r w:rsidR="00DB3F04" w:rsidRPr="0001068E">
        <w:rPr>
          <w:rFonts w:cs="Arial"/>
        </w:rPr>
        <w:t>.</w:t>
      </w:r>
      <w:r w:rsidRPr="0001068E">
        <w:rPr>
          <w:rFonts w:cs="Arial"/>
        </w:rPr>
        <w:t xml:space="preserve"> 30,34,49,51</w:t>
      </w:r>
    </w:p>
    <w:p w:rsidR="00AD47F6" w:rsidRPr="0001068E" w:rsidRDefault="00AD47F6" w:rsidP="0001068E">
      <w:pPr>
        <w:spacing w:after="200" w:line="360" w:lineRule="auto"/>
        <w:rPr>
          <w:rFonts w:cs="Arial"/>
          <w:b/>
          <w:bCs/>
        </w:rPr>
      </w:pPr>
      <w:r w:rsidRPr="0001068E">
        <w:rPr>
          <w:rFonts w:cs="Arial"/>
          <w:b/>
          <w:bCs/>
        </w:rPr>
        <w:br w:type="page"/>
      </w:r>
    </w:p>
    <w:p w:rsidR="00711E44" w:rsidRPr="0001068E" w:rsidRDefault="00711E44" w:rsidP="0001068E">
      <w:pPr>
        <w:pStyle w:val="berschrift1"/>
        <w:pBdr>
          <w:bottom w:val="single" w:sz="4" w:space="1" w:color="auto"/>
        </w:pBdr>
        <w:spacing w:line="360" w:lineRule="auto"/>
        <w:rPr>
          <w:rFonts w:ascii="Arial" w:hAnsi="Arial" w:cs="Arial"/>
        </w:rPr>
      </w:pPr>
      <w:r w:rsidRPr="0001068E">
        <w:rPr>
          <w:rFonts w:ascii="Arial" w:hAnsi="Arial" w:cs="Arial"/>
        </w:rPr>
        <w:lastRenderedPageBreak/>
        <w:t>Vorurteil 7: SL für alle Behinderten ist zu teuer</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Art. 19 UN BRK</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 xml:space="preserve">Allgemeine Bemerkungen Nr. 5 </w:t>
      </w:r>
    </w:p>
    <w:p w:rsidR="00711E44" w:rsidRPr="0001068E" w:rsidRDefault="00711E44" w:rsidP="0001068E">
      <w:pPr>
        <w:spacing w:line="360" w:lineRule="auto"/>
        <w:rPr>
          <w:rFonts w:cs="Arial"/>
        </w:rPr>
      </w:pPr>
      <w:r w:rsidRPr="0001068E">
        <w:rPr>
          <w:rFonts w:cs="Arial"/>
        </w:rPr>
        <w:t>Abs. 21: „ Wenn bei Menschen mit Behinderung ein hoher Unterstützungsbedarf festgestellt wird, sehen Vertragsstaaten die Heimunterbringung oft als einzige Lösung, insbesondere, wenn der persönliche Unterstützungsbedarf als zu teuer angesehen wird oder dem behinderten Mensch ein Leben außerhalb von Einrichtungen nicht zugetrautwird.  Menschen mit intellektuellen Beeinträchtigungen, insbesondere solche mit komplexen Kommunikationsbedarfen wird häufig bescheinigt, nicht in der Lage zu sein, außerhalb von Einrichtungen zu leben. Eine solche Denkweise widerspricht Artikel 19, da sich dort das Recht auf unabhängige Lebensführung und Einbeziehung in die Gemeinschaft auf alle Menschen mit Behinderungen erstreckt, unabhängig vom Grad der geistigen Fähigkeiten, der funktionellen Fähigkeiten und dem Unterstützungsbedarf.“</w:t>
      </w:r>
    </w:p>
    <w:p w:rsidR="00DB3F04" w:rsidRPr="0001068E" w:rsidRDefault="00DB3F04" w:rsidP="0001068E">
      <w:pPr>
        <w:spacing w:line="360" w:lineRule="auto"/>
        <w:rPr>
          <w:rFonts w:cs="Arial"/>
        </w:rPr>
      </w:pPr>
    </w:p>
    <w:p w:rsidR="00DB3F04" w:rsidRPr="0001068E" w:rsidRDefault="00711E44" w:rsidP="0001068E">
      <w:pPr>
        <w:spacing w:line="360" w:lineRule="auto"/>
        <w:rPr>
          <w:rFonts w:cs="Arial"/>
        </w:rPr>
      </w:pPr>
      <w:r w:rsidRPr="0001068E">
        <w:rPr>
          <w:rFonts w:cs="Arial"/>
        </w:rPr>
        <w:t>Abs. 36</w:t>
      </w:r>
    </w:p>
    <w:p w:rsidR="00AD47F6" w:rsidRPr="0001068E" w:rsidRDefault="00AD47F6" w:rsidP="0001068E">
      <w:pPr>
        <w:spacing w:after="200" w:line="360" w:lineRule="auto"/>
        <w:rPr>
          <w:rFonts w:cs="Arial"/>
          <w:b/>
          <w:bCs/>
        </w:rPr>
      </w:pPr>
      <w:r w:rsidRPr="0001068E">
        <w:rPr>
          <w:rFonts w:cs="Arial"/>
          <w:b/>
          <w:bCs/>
        </w:rPr>
        <w:br w:type="page"/>
      </w:r>
    </w:p>
    <w:p w:rsidR="00711E44" w:rsidRPr="0001068E" w:rsidRDefault="00711E44" w:rsidP="0001068E">
      <w:pPr>
        <w:pStyle w:val="berschrift1"/>
        <w:pBdr>
          <w:bottom w:val="single" w:sz="4" w:space="1" w:color="auto"/>
        </w:pBdr>
        <w:spacing w:line="360" w:lineRule="auto"/>
        <w:rPr>
          <w:rFonts w:ascii="Arial" w:hAnsi="Arial" w:cs="Arial"/>
        </w:rPr>
      </w:pPr>
      <w:r w:rsidRPr="0001068E">
        <w:rPr>
          <w:rFonts w:ascii="Arial" w:hAnsi="Arial" w:cs="Arial"/>
        </w:rPr>
        <w:lastRenderedPageBreak/>
        <w:t>Vorurteil 8: SL ist für behinderte Frauen wie behinderte Männer gleich!</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Art. 19 UN BRK</w:t>
      </w:r>
    </w:p>
    <w:p w:rsidR="00711E44" w:rsidRPr="0001068E" w:rsidRDefault="00711E44" w:rsidP="0001068E">
      <w:pPr>
        <w:spacing w:line="360" w:lineRule="auto"/>
        <w:rPr>
          <w:rFonts w:cs="Arial"/>
        </w:rPr>
      </w:pPr>
      <w:r w:rsidRPr="0001068E">
        <w:rPr>
          <w:rFonts w:cs="Arial"/>
        </w:rPr>
        <w:t xml:space="preserve">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ermöglichen, indem sie unter anderem gewährleisten, dass </w:t>
      </w:r>
    </w:p>
    <w:p w:rsidR="00711E44" w:rsidRPr="0001068E" w:rsidRDefault="00711E44" w:rsidP="0001068E">
      <w:pPr>
        <w:spacing w:line="360" w:lineRule="auto"/>
        <w:rPr>
          <w:rFonts w:cs="Arial"/>
        </w:rPr>
      </w:pPr>
      <w:r w:rsidRPr="0001068E">
        <w:rPr>
          <w:rFonts w:cs="Arial"/>
          <w:i/>
          <w:iCs/>
        </w:rPr>
        <w:t>a</w:t>
      </w:r>
      <w:r w:rsidRPr="0001068E">
        <w:rPr>
          <w:rFonts w:cs="Arial"/>
        </w:rPr>
        <w:t xml:space="preserve">) Menschen mit Behinderungen gleichberechtigt mit anderen die Möglichkeit haben, ihren Aufenthaltsort zu wählen und zu entscheiden, wo und mit wem sie leben, und nicht verpflichtet sind, in besonderen Wohnformen zu leben; </w:t>
      </w:r>
    </w:p>
    <w:p w:rsidR="00711E44" w:rsidRPr="0001068E" w:rsidRDefault="00711E44" w:rsidP="0001068E">
      <w:pPr>
        <w:spacing w:line="360" w:lineRule="auto"/>
        <w:rPr>
          <w:rFonts w:cs="Arial"/>
        </w:rPr>
      </w:pPr>
      <w:r w:rsidRPr="0001068E">
        <w:rPr>
          <w:rFonts w:cs="Arial"/>
          <w:i/>
          <w:iCs/>
        </w:rPr>
        <w:t>b</w:t>
      </w:r>
      <w:r w:rsidRPr="0001068E">
        <w:rPr>
          <w:rFonts w:cs="Arial"/>
        </w:rPr>
        <w:t xml:space="preserve">)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 </w:t>
      </w:r>
    </w:p>
    <w:p w:rsidR="00711E44" w:rsidRPr="0001068E" w:rsidRDefault="00711E44" w:rsidP="0001068E">
      <w:pPr>
        <w:spacing w:line="360" w:lineRule="auto"/>
        <w:rPr>
          <w:rFonts w:cs="Arial"/>
        </w:rPr>
      </w:pPr>
      <w:r w:rsidRPr="0001068E">
        <w:rPr>
          <w:rFonts w:cs="Arial"/>
          <w:i/>
          <w:iCs/>
        </w:rPr>
        <w:t>c</w:t>
      </w:r>
      <w:r w:rsidRPr="0001068E">
        <w:rPr>
          <w:rFonts w:cs="Arial"/>
        </w:rPr>
        <w:t xml:space="preserve">) gemeindenahe Dienstleistungen und Einrichtungen für die Allgemeinheit Menschen mit Behinderungen auf der Grundlage der Gleichberechtigung zur Verfügung stehen und ihren Bedürfnissen Rechnung tragen. </w:t>
      </w:r>
    </w:p>
    <w:p w:rsidR="00DB3F04" w:rsidRPr="0001068E" w:rsidRDefault="00DB3F04" w:rsidP="0001068E">
      <w:pPr>
        <w:spacing w:line="360" w:lineRule="auto"/>
        <w:rPr>
          <w:rFonts w:cs="Arial"/>
          <w:b/>
          <w:bCs/>
        </w:rPr>
      </w:pPr>
    </w:p>
    <w:p w:rsidR="00711E44" w:rsidRPr="0001068E" w:rsidRDefault="00711E44" w:rsidP="0001068E">
      <w:pPr>
        <w:spacing w:line="360" w:lineRule="auto"/>
        <w:rPr>
          <w:rFonts w:cs="Arial"/>
        </w:rPr>
      </w:pPr>
      <w:r w:rsidRPr="0001068E">
        <w:rPr>
          <w:rFonts w:cs="Arial"/>
          <w:b/>
          <w:bCs/>
        </w:rPr>
        <w:t>Allgemeine Bemerkungen Nr. 5</w:t>
      </w:r>
    </w:p>
    <w:p w:rsidR="00711E44" w:rsidRPr="0001068E" w:rsidRDefault="00711E44" w:rsidP="0001068E">
      <w:pPr>
        <w:spacing w:line="360" w:lineRule="auto"/>
        <w:rPr>
          <w:rFonts w:cs="Arial"/>
        </w:rPr>
      </w:pPr>
      <w:r w:rsidRPr="0001068E">
        <w:rPr>
          <w:rFonts w:cs="Arial"/>
        </w:rPr>
        <w:t>Abs. 73: „Oft sind Frauen und Mädchen mit Behinderungen (Art. 6) mehr ausgesondert und isoliert,  und sie erfahren hinsichtlich Wohnort und Wohnverhältnisse stärkere Einschränkungen weil paternalistische Stereotypen  und patriarchale Verhältnisse in der Gesellschaft vorherrschen. Frauen und Mädchen mit Behinderungen erleben auch geschlechtsspezifische, mehrdimensionale und intersektionale Diskriminierung, und sind vermehrt von Zwangseinweisungen, Gewalt und Missbrauch, einschließlich sexueller Gewalt und sexueller Belästigung betroffen. (….) Deshalb sollte bei der Umsetzung des Rechts auf unabhängige Lebensführung und Einbeziehung in die Gemeinschaft die Gleichstellung der Geschlechter, die Abschaffung geschlechtsbasierter Diskriminierung und patriarchaler Verhälnisse besonders beachtet werden.“</w:t>
      </w:r>
    </w:p>
    <w:p w:rsidR="00DB3F04" w:rsidRPr="0001068E" w:rsidRDefault="00DB3F04" w:rsidP="0001068E">
      <w:pPr>
        <w:spacing w:line="360" w:lineRule="auto"/>
        <w:rPr>
          <w:rFonts w:cs="Arial"/>
        </w:rPr>
      </w:pPr>
    </w:p>
    <w:p w:rsidR="00711E44" w:rsidRPr="0001068E" w:rsidRDefault="00711E44" w:rsidP="0001068E">
      <w:pPr>
        <w:spacing w:line="360" w:lineRule="auto"/>
        <w:rPr>
          <w:rFonts w:cs="Arial"/>
        </w:rPr>
      </w:pPr>
      <w:r w:rsidRPr="0001068E">
        <w:rPr>
          <w:rFonts w:cs="Arial"/>
        </w:rPr>
        <w:t>Abs. 74–76</w:t>
      </w:r>
    </w:p>
    <w:bookmarkEnd w:id="0"/>
    <w:p w:rsidR="00711E44" w:rsidRPr="0001068E" w:rsidRDefault="00711E44" w:rsidP="0001068E">
      <w:pPr>
        <w:spacing w:line="360" w:lineRule="auto"/>
        <w:rPr>
          <w:rFonts w:cs="Arial"/>
        </w:rPr>
      </w:pPr>
    </w:p>
    <w:sectPr w:rsidR="00711E44" w:rsidRPr="0001068E" w:rsidSect="0030584D">
      <w:headerReference w:type="default" r:id="rId7"/>
      <w:footerReference w:type="default" r:id="rId8"/>
      <w:pgSz w:w="11906" w:h="16838"/>
      <w:pgMar w:top="1417" w:right="1417" w:bottom="1134" w:left="1417" w:header="708"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25BF" w:rsidRDefault="000B25BF" w:rsidP="00711E44">
      <w:pPr>
        <w:spacing w:line="240" w:lineRule="auto"/>
      </w:pPr>
      <w:r>
        <w:separator/>
      </w:r>
    </w:p>
  </w:endnote>
  <w:endnote w:type="continuationSeparator" w:id="0">
    <w:p w:rsidR="000B25BF" w:rsidRDefault="000B25BF" w:rsidP="00711E4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84D" w:rsidRDefault="0030584D">
    <w:pPr>
      <w:pStyle w:val="Fuzeile"/>
    </w:pPr>
    <w:r>
      <w:rPr>
        <w:noProof/>
        <w:lang w:eastAsia="de-DE"/>
      </w:rPr>
      <w:drawing>
        <wp:inline distT="0" distB="0" distL="0" distR="0">
          <wp:extent cx="2710502" cy="429940"/>
          <wp:effectExtent l="19050" t="0" r="0" b="0"/>
          <wp:docPr id="3" name="Grafik 2" descr="Förderlogo ESF und MAGS N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komplett neu farbig IKSL.jpg"/>
                  <pic:cNvPicPr/>
                </pic:nvPicPr>
                <pic:blipFill>
                  <a:blip r:embed="rId1"/>
                  <a:stretch>
                    <a:fillRect/>
                  </a:stretch>
                </pic:blipFill>
                <pic:spPr>
                  <a:xfrm>
                    <a:off x="0" y="0"/>
                    <a:ext cx="2716832" cy="430944"/>
                  </a:xfrm>
                  <a:prstGeom prst="rect">
                    <a:avLst/>
                  </a:prstGeom>
                </pic:spPr>
              </pic:pic>
            </a:graphicData>
          </a:graphic>
        </wp:inline>
      </w:drawing>
    </w:r>
    <w:r>
      <w:t xml:space="preserve"> </w:t>
    </w:r>
    <w:r>
      <w:rPr>
        <w:noProof/>
        <w:lang w:eastAsia="de-DE"/>
      </w:rPr>
      <w:drawing>
        <wp:inline distT="0" distB="0" distL="0" distR="0">
          <wp:extent cx="2069057" cy="349019"/>
          <wp:effectExtent l="19050" t="0" r="7393" b="0"/>
          <wp:docPr id="4" name="Bild 1" descr="Logo EvH RWL und BOD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ziska Witzmann\Dropbox\AKTIF\BODYS\Logo Evh und Bodys\EVH_Bodys_Logo.png"/>
                  <pic:cNvPicPr>
                    <a:picLocks noChangeAspect="1" noChangeArrowheads="1"/>
                  </pic:cNvPicPr>
                </pic:nvPicPr>
                <pic:blipFill>
                  <a:blip r:embed="rId2"/>
                  <a:srcRect/>
                  <a:stretch>
                    <a:fillRect/>
                  </a:stretch>
                </pic:blipFill>
                <pic:spPr bwMode="auto">
                  <a:xfrm>
                    <a:off x="0" y="0"/>
                    <a:ext cx="2090527" cy="352641"/>
                  </a:xfrm>
                  <a:prstGeom prst="rect">
                    <a:avLst/>
                  </a:prstGeom>
                  <a:noFill/>
                  <a:ln w="9525">
                    <a:noFill/>
                    <a:miter lim="800000"/>
                    <a:headEnd/>
                    <a:tailEnd/>
                  </a:ln>
                </pic:spPr>
              </pic:pic>
            </a:graphicData>
          </a:graphic>
        </wp:inline>
      </w:drawing>
    </w:r>
    <w:r>
      <w:t xml:space="preserve"> </w:t>
    </w:r>
    <w:r>
      <w:tab/>
    </w:r>
    <w:fldSimple w:instr=" PAGE   \* MERGEFORMAT ">
      <w:r>
        <w:rPr>
          <w:noProof/>
        </w:rPr>
        <w:t>9</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25BF" w:rsidRDefault="000B25BF" w:rsidP="00711E44">
      <w:pPr>
        <w:spacing w:line="240" w:lineRule="auto"/>
      </w:pPr>
      <w:r>
        <w:separator/>
      </w:r>
    </w:p>
  </w:footnote>
  <w:footnote w:type="continuationSeparator" w:id="0">
    <w:p w:rsidR="000B25BF" w:rsidRDefault="000B25BF" w:rsidP="00711E4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E44" w:rsidRDefault="00711E44">
    <w:pPr>
      <w:pStyle w:val="Kopfzeile"/>
    </w:pPr>
    <w:r>
      <w:t>Arbeitsblatt "Vorurteile Selbstbestimmt Leben 2–8"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B1496"/>
    <w:multiLevelType w:val="hybridMultilevel"/>
    <w:tmpl w:val="0986D85C"/>
    <w:lvl w:ilvl="0" w:tplc="EFCE3760">
      <w:start w:val="1"/>
      <w:numFmt w:val="decimal"/>
      <w:lvlText w:val="%1."/>
      <w:lvlJc w:val="left"/>
      <w:pPr>
        <w:tabs>
          <w:tab w:val="num" w:pos="720"/>
        </w:tabs>
        <w:ind w:left="720" w:hanging="360"/>
      </w:pPr>
    </w:lvl>
    <w:lvl w:ilvl="1" w:tplc="EC5E5176" w:tentative="1">
      <w:start w:val="1"/>
      <w:numFmt w:val="decimal"/>
      <w:lvlText w:val="%2."/>
      <w:lvlJc w:val="left"/>
      <w:pPr>
        <w:tabs>
          <w:tab w:val="num" w:pos="1440"/>
        </w:tabs>
        <w:ind w:left="1440" w:hanging="360"/>
      </w:pPr>
    </w:lvl>
    <w:lvl w:ilvl="2" w:tplc="8FB6D2B2" w:tentative="1">
      <w:start w:val="1"/>
      <w:numFmt w:val="decimal"/>
      <w:lvlText w:val="%3."/>
      <w:lvlJc w:val="left"/>
      <w:pPr>
        <w:tabs>
          <w:tab w:val="num" w:pos="2160"/>
        </w:tabs>
        <w:ind w:left="2160" w:hanging="360"/>
      </w:pPr>
    </w:lvl>
    <w:lvl w:ilvl="3" w:tplc="931AE922" w:tentative="1">
      <w:start w:val="1"/>
      <w:numFmt w:val="decimal"/>
      <w:lvlText w:val="%4."/>
      <w:lvlJc w:val="left"/>
      <w:pPr>
        <w:tabs>
          <w:tab w:val="num" w:pos="2880"/>
        </w:tabs>
        <w:ind w:left="2880" w:hanging="360"/>
      </w:pPr>
    </w:lvl>
    <w:lvl w:ilvl="4" w:tplc="791E1832" w:tentative="1">
      <w:start w:val="1"/>
      <w:numFmt w:val="decimal"/>
      <w:lvlText w:val="%5."/>
      <w:lvlJc w:val="left"/>
      <w:pPr>
        <w:tabs>
          <w:tab w:val="num" w:pos="3600"/>
        </w:tabs>
        <w:ind w:left="3600" w:hanging="360"/>
      </w:pPr>
    </w:lvl>
    <w:lvl w:ilvl="5" w:tplc="BF245162" w:tentative="1">
      <w:start w:val="1"/>
      <w:numFmt w:val="decimal"/>
      <w:lvlText w:val="%6."/>
      <w:lvlJc w:val="left"/>
      <w:pPr>
        <w:tabs>
          <w:tab w:val="num" w:pos="4320"/>
        </w:tabs>
        <w:ind w:left="4320" w:hanging="360"/>
      </w:pPr>
    </w:lvl>
    <w:lvl w:ilvl="6" w:tplc="79A8AF50" w:tentative="1">
      <w:start w:val="1"/>
      <w:numFmt w:val="decimal"/>
      <w:lvlText w:val="%7."/>
      <w:lvlJc w:val="left"/>
      <w:pPr>
        <w:tabs>
          <w:tab w:val="num" w:pos="5040"/>
        </w:tabs>
        <w:ind w:left="5040" w:hanging="360"/>
      </w:pPr>
    </w:lvl>
    <w:lvl w:ilvl="7" w:tplc="FCF005EC" w:tentative="1">
      <w:start w:val="1"/>
      <w:numFmt w:val="decimal"/>
      <w:lvlText w:val="%8."/>
      <w:lvlJc w:val="left"/>
      <w:pPr>
        <w:tabs>
          <w:tab w:val="num" w:pos="5760"/>
        </w:tabs>
        <w:ind w:left="5760" w:hanging="360"/>
      </w:pPr>
    </w:lvl>
    <w:lvl w:ilvl="8" w:tplc="8FDA2940"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711E44"/>
    <w:rsid w:val="000059FF"/>
    <w:rsid w:val="0001068E"/>
    <w:rsid w:val="000B25BF"/>
    <w:rsid w:val="000C189F"/>
    <w:rsid w:val="0030584D"/>
    <w:rsid w:val="003C35CA"/>
    <w:rsid w:val="00566C0C"/>
    <w:rsid w:val="005E7D09"/>
    <w:rsid w:val="005F4E2B"/>
    <w:rsid w:val="00662842"/>
    <w:rsid w:val="00711E44"/>
    <w:rsid w:val="00832905"/>
    <w:rsid w:val="008A221E"/>
    <w:rsid w:val="00AD47F6"/>
    <w:rsid w:val="00AF7E89"/>
    <w:rsid w:val="00D84023"/>
    <w:rsid w:val="00DB3F04"/>
    <w:rsid w:val="00EA76F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2905"/>
    <w:pPr>
      <w:spacing w:after="0"/>
    </w:pPr>
    <w:rPr>
      <w:rFonts w:ascii="Arial" w:hAnsi="Arial"/>
    </w:rPr>
  </w:style>
  <w:style w:type="paragraph" w:styleId="berschrift1">
    <w:name w:val="heading 1"/>
    <w:basedOn w:val="Standard"/>
    <w:next w:val="Standard"/>
    <w:link w:val="berschrift1Zchn"/>
    <w:uiPriority w:val="9"/>
    <w:qFormat/>
    <w:rsid w:val="00AF7E89"/>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unhideWhenUsed/>
    <w:rsid w:val="00711E44"/>
    <w:pPr>
      <w:tabs>
        <w:tab w:val="center" w:pos="4536"/>
        <w:tab w:val="right" w:pos="9072"/>
      </w:tabs>
      <w:spacing w:line="240" w:lineRule="auto"/>
    </w:pPr>
  </w:style>
  <w:style w:type="character" w:customStyle="1" w:styleId="KopfzeileZchn">
    <w:name w:val="Kopfzeile Zchn"/>
    <w:basedOn w:val="Absatz-Standardschriftart"/>
    <w:link w:val="Kopfzeile"/>
    <w:uiPriority w:val="99"/>
    <w:semiHidden/>
    <w:rsid w:val="00711E44"/>
    <w:rPr>
      <w:rFonts w:ascii="Arial" w:hAnsi="Arial"/>
    </w:rPr>
  </w:style>
  <w:style w:type="paragraph" w:styleId="Fuzeile">
    <w:name w:val="footer"/>
    <w:basedOn w:val="Standard"/>
    <w:link w:val="FuzeileZchn"/>
    <w:uiPriority w:val="99"/>
    <w:unhideWhenUsed/>
    <w:rsid w:val="00711E44"/>
    <w:pPr>
      <w:tabs>
        <w:tab w:val="center" w:pos="4536"/>
        <w:tab w:val="right" w:pos="9072"/>
      </w:tabs>
      <w:spacing w:line="240" w:lineRule="auto"/>
    </w:pPr>
  </w:style>
  <w:style w:type="character" w:customStyle="1" w:styleId="FuzeileZchn">
    <w:name w:val="Fußzeile Zchn"/>
    <w:basedOn w:val="Absatz-Standardschriftart"/>
    <w:link w:val="Fuzeile"/>
    <w:uiPriority w:val="99"/>
    <w:rsid w:val="00711E44"/>
    <w:rPr>
      <w:rFonts w:ascii="Arial" w:hAnsi="Arial"/>
    </w:rPr>
  </w:style>
  <w:style w:type="character" w:customStyle="1" w:styleId="berschrift1Zchn">
    <w:name w:val="Überschrift 1 Zchn"/>
    <w:basedOn w:val="Absatz-Standardschriftart"/>
    <w:link w:val="berschrift1"/>
    <w:uiPriority w:val="9"/>
    <w:rsid w:val="00AF7E89"/>
    <w:rPr>
      <w:rFonts w:asciiTheme="majorHAnsi" w:eastAsiaTheme="majorEastAsia" w:hAnsiTheme="majorHAnsi" w:cstheme="majorBidi"/>
      <w:color w:val="365F91" w:themeColor="accent1" w:themeShade="BF"/>
      <w:sz w:val="32"/>
      <w:szCs w:val="32"/>
    </w:rPr>
  </w:style>
  <w:style w:type="paragraph" w:styleId="Sprechblasentext">
    <w:name w:val="Balloon Text"/>
    <w:basedOn w:val="Standard"/>
    <w:link w:val="SprechblasentextZchn"/>
    <w:uiPriority w:val="99"/>
    <w:semiHidden/>
    <w:unhideWhenUsed/>
    <w:rsid w:val="0030584D"/>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058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872691">
      <w:bodyDiv w:val="1"/>
      <w:marLeft w:val="0"/>
      <w:marRight w:val="0"/>
      <w:marTop w:val="0"/>
      <w:marBottom w:val="0"/>
      <w:divBdr>
        <w:top w:val="none" w:sz="0" w:space="0" w:color="auto"/>
        <w:left w:val="none" w:sz="0" w:space="0" w:color="auto"/>
        <w:bottom w:val="none" w:sz="0" w:space="0" w:color="auto"/>
        <w:right w:val="none" w:sz="0" w:space="0" w:color="auto"/>
      </w:divBdr>
    </w:div>
    <w:div w:id="13961758">
      <w:bodyDiv w:val="1"/>
      <w:marLeft w:val="0"/>
      <w:marRight w:val="0"/>
      <w:marTop w:val="0"/>
      <w:marBottom w:val="0"/>
      <w:divBdr>
        <w:top w:val="none" w:sz="0" w:space="0" w:color="auto"/>
        <w:left w:val="none" w:sz="0" w:space="0" w:color="auto"/>
        <w:bottom w:val="none" w:sz="0" w:space="0" w:color="auto"/>
        <w:right w:val="none" w:sz="0" w:space="0" w:color="auto"/>
      </w:divBdr>
    </w:div>
    <w:div w:id="17632810">
      <w:bodyDiv w:val="1"/>
      <w:marLeft w:val="0"/>
      <w:marRight w:val="0"/>
      <w:marTop w:val="0"/>
      <w:marBottom w:val="0"/>
      <w:divBdr>
        <w:top w:val="none" w:sz="0" w:space="0" w:color="auto"/>
        <w:left w:val="none" w:sz="0" w:space="0" w:color="auto"/>
        <w:bottom w:val="none" w:sz="0" w:space="0" w:color="auto"/>
        <w:right w:val="none" w:sz="0" w:space="0" w:color="auto"/>
      </w:divBdr>
    </w:div>
    <w:div w:id="38285402">
      <w:bodyDiv w:val="1"/>
      <w:marLeft w:val="0"/>
      <w:marRight w:val="0"/>
      <w:marTop w:val="0"/>
      <w:marBottom w:val="0"/>
      <w:divBdr>
        <w:top w:val="none" w:sz="0" w:space="0" w:color="auto"/>
        <w:left w:val="none" w:sz="0" w:space="0" w:color="auto"/>
        <w:bottom w:val="none" w:sz="0" w:space="0" w:color="auto"/>
        <w:right w:val="none" w:sz="0" w:space="0" w:color="auto"/>
      </w:divBdr>
    </w:div>
    <w:div w:id="85855977">
      <w:bodyDiv w:val="1"/>
      <w:marLeft w:val="0"/>
      <w:marRight w:val="0"/>
      <w:marTop w:val="0"/>
      <w:marBottom w:val="0"/>
      <w:divBdr>
        <w:top w:val="none" w:sz="0" w:space="0" w:color="auto"/>
        <w:left w:val="none" w:sz="0" w:space="0" w:color="auto"/>
        <w:bottom w:val="none" w:sz="0" w:space="0" w:color="auto"/>
        <w:right w:val="none" w:sz="0" w:space="0" w:color="auto"/>
      </w:divBdr>
    </w:div>
    <w:div w:id="191379077">
      <w:bodyDiv w:val="1"/>
      <w:marLeft w:val="0"/>
      <w:marRight w:val="0"/>
      <w:marTop w:val="0"/>
      <w:marBottom w:val="0"/>
      <w:divBdr>
        <w:top w:val="none" w:sz="0" w:space="0" w:color="auto"/>
        <w:left w:val="none" w:sz="0" w:space="0" w:color="auto"/>
        <w:bottom w:val="none" w:sz="0" w:space="0" w:color="auto"/>
        <w:right w:val="none" w:sz="0" w:space="0" w:color="auto"/>
      </w:divBdr>
    </w:div>
    <w:div w:id="270473709">
      <w:bodyDiv w:val="1"/>
      <w:marLeft w:val="0"/>
      <w:marRight w:val="0"/>
      <w:marTop w:val="0"/>
      <w:marBottom w:val="0"/>
      <w:divBdr>
        <w:top w:val="none" w:sz="0" w:space="0" w:color="auto"/>
        <w:left w:val="none" w:sz="0" w:space="0" w:color="auto"/>
        <w:bottom w:val="none" w:sz="0" w:space="0" w:color="auto"/>
        <w:right w:val="none" w:sz="0" w:space="0" w:color="auto"/>
      </w:divBdr>
    </w:div>
    <w:div w:id="342560843">
      <w:bodyDiv w:val="1"/>
      <w:marLeft w:val="0"/>
      <w:marRight w:val="0"/>
      <w:marTop w:val="0"/>
      <w:marBottom w:val="0"/>
      <w:divBdr>
        <w:top w:val="none" w:sz="0" w:space="0" w:color="auto"/>
        <w:left w:val="none" w:sz="0" w:space="0" w:color="auto"/>
        <w:bottom w:val="none" w:sz="0" w:space="0" w:color="auto"/>
        <w:right w:val="none" w:sz="0" w:space="0" w:color="auto"/>
      </w:divBdr>
    </w:div>
    <w:div w:id="477066073">
      <w:bodyDiv w:val="1"/>
      <w:marLeft w:val="0"/>
      <w:marRight w:val="0"/>
      <w:marTop w:val="0"/>
      <w:marBottom w:val="0"/>
      <w:divBdr>
        <w:top w:val="none" w:sz="0" w:space="0" w:color="auto"/>
        <w:left w:val="none" w:sz="0" w:space="0" w:color="auto"/>
        <w:bottom w:val="none" w:sz="0" w:space="0" w:color="auto"/>
        <w:right w:val="none" w:sz="0" w:space="0" w:color="auto"/>
      </w:divBdr>
    </w:div>
    <w:div w:id="500004235">
      <w:bodyDiv w:val="1"/>
      <w:marLeft w:val="0"/>
      <w:marRight w:val="0"/>
      <w:marTop w:val="0"/>
      <w:marBottom w:val="0"/>
      <w:divBdr>
        <w:top w:val="none" w:sz="0" w:space="0" w:color="auto"/>
        <w:left w:val="none" w:sz="0" w:space="0" w:color="auto"/>
        <w:bottom w:val="none" w:sz="0" w:space="0" w:color="auto"/>
        <w:right w:val="none" w:sz="0" w:space="0" w:color="auto"/>
      </w:divBdr>
    </w:div>
    <w:div w:id="663438828">
      <w:bodyDiv w:val="1"/>
      <w:marLeft w:val="0"/>
      <w:marRight w:val="0"/>
      <w:marTop w:val="0"/>
      <w:marBottom w:val="0"/>
      <w:divBdr>
        <w:top w:val="none" w:sz="0" w:space="0" w:color="auto"/>
        <w:left w:val="none" w:sz="0" w:space="0" w:color="auto"/>
        <w:bottom w:val="none" w:sz="0" w:space="0" w:color="auto"/>
        <w:right w:val="none" w:sz="0" w:space="0" w:color="auto"/>
      </w:divBdr>
    </w:div>
    <w:div w:id="674570817">
      <w:bodyDiv w:val="1"/>
      <w:marLeft w:val="0"/>
      <w:marRight w:val="0"/>
      <w:marTop w:val="0"/>
      <w:marBottom w:val="0"/>
      <w:divBdr>
        <w:top w:val="none" w:sz="0" w:space="0" w:color="auto"/>
        <w:left w:val="none" w:sz="0" w:space="0" w:color="auto"/>
        <w:bottom w:val="none" w:sz="0" w:space="0" w:color="auto"/>
        <w:right w:val="none" w:sz="0" w:space="0" w:color="auto"/>
      </w:divBdr>
    </w:div>
    <w:div w:id="747457358">
      <w:bodyDiv w:val="1"/>
      <w:marLeft w:val="0"/>
      <w:marRight w:val="0"/>
      <w:marTop w:val="0"/>
      <w:marBottom w:val="0"/>
      <w:divBdr>
        <w:top w:val="none" w:sz="0" w:space="0" w:color="auto"/>
        <w:left w:val="none" w:sz="0" w:space="0" w:color="auto"/>
        <w:bottom w:val="none" w:sz="0" w:space="0" w:color="auto"/>
        <w:right w:val="none" w:sz="0" w:space="0" w:color="auto"/>
      </w:divBdr>
    </w:div>
    <w:div w:id="751049448">
      <w:bodyDiv w:val="1"/>
      <w:marLeft w:val="0"/>
      <w:marRight w:val="0"/>
      <w:marTop w:val="0"/>
      <w:marBottom w:val="0"/>
      <w:divBdr>
        <w:top w:val="none" w:sz="0" w:space="0" w:color="auto"/>
        <w:left w:val="none" w:sz="0" w:space="0" w:color="auto"/>
        <w:bottom w:val="none" w:sz="0" w:space="0" w:color="auto"/>
        <w:right w:val="none" w:sz="0" w:space="0" w:color="auto"/>
      </w:divBdr>
    </w:div>
    <w:div w:id="797334124">
      <w:bodyDiv w:val="1"/>
      <w:marLeft w:val="0"/>
      <w:marRight w:val="0"/>
      <w:marTop w:val="0"/>
      <w:marBottom w:val="0"/>
      <w:divBdr>
        <w:top w:val="none" w:sz="0" w:space="0" w:color="auto"/>
        <w:left w:val="none" w:sz="0" w:space="0" w:color="auto"/>
        <w:bottom w:val="none" w:sz="0" w:space="0" w:color="auto"/>
        <w:right w:val="none" w:sz="0" w:space="0" w:color="auto"/>
      </w:divBdr>
    </w:div>
    <w:div w:id="968901778">
      <w:bodyDiv w:val="1"/>
      <w:marLeft w:val="0"/>
      <w:marRight w:val="0"/>
      <w:marTop w:val="0"/>
      <w:marBottom w:val="0"/>
      <w:divBdr>
        <w:top w:val="none" w:sz="0" w:space="0" w:color="auto"/>
        <w:left w:val="none" w:sz="0" w:space="0" w:color="auto"/>
        <w:bottom w:val="none" w:sz="0" w:space="0" w:color="auto"/>
        <w:right w:val="none" w:sz="0" w:space="0" w:color="auto"/>
      </w:divBdr>
    </w:div>
    <w:div w:id="1000694738">
      <w:bodyDiv w:val="1"/>
      <w:marLeft w:val="0"/>
      <w:marRight w:val="0"/>
      <w:marTop w:val="0"/>
      <w:marBottom w:val="0"/>
      <w:divBdr>
        <w:top w:val="none" w:sz="0" w:space="0" w:color="auto"/>
        <w:left w:val="none" w:sz="0" w:space="0" w:color="auto"/>
        <w:bottom w:val="none" w:sz="0" w:space="0" w:color="auto"/>
        <w:right w:val="none" w:sz="0" w:space="0" w:color="auto"/>
      </w:divBdr>
    </w:div>
    <w:div w:id="1176115052">
      <w:bodyDiv w:val="1"/>
      <w:marLeft w:val="0"/>
      <w:marRight w:val="0"/>
      <w:marTop w:val="0"/>
      <w:marBottom w:val="0"/>
      <w:divBdr>
        <w:top w:val="none" w:sz="0" w:space="0" w:color="auto"/>
        <w:left w:val="none" w:sz="0" w:space="0" w:color="auto"/>
        <w:bottom w:val="none" w:sz="0" w:space="0" w:color="auto"/>
        <w:right w:val="none" w:sz="0" w:space="0" w:color="auto"/>
      </w:divBdr>
    </w:div>
    <w:div w:id="1245188579">
      <w:bodyDiv w:val="1"/>
      <w:marLeft w:val="0"/>
      <w:marRight w:val="0"/>
      <w:marTop w:val="0"/>
      <w:marBottom w:val="0"/>
      <w:divBdr>
        <w:top w:val="none" w:sz="0" w:space="0" w:color="auto"/>
        <w:left w:val="none" w:sz="0" w:space="0" w:color="auto"/>
        <w:bottom w:val="none" w:sz="0" w:space="0" w:color="auto"/>
        <w:right w:val="none" w:sz="0" w:space="0" w:color="auto"/>
      </w:divBdr>
    </w:div>
    <w:div w:id="1279332134">
      <w:bodyDiv w:val="1"/>
      <w:marLeft w:val="0"/>
      <w:marRight w:val="0"/>
      <w:marTop w:val="0"/>
      <w:marBottom w:val="0"/>
      <w:divBdr>
        <w:top w:val="none" w:sz="0" w:space="0" w:color="auto"/>
        <w:left w:val="none" w:sz="0" w:space="0" w:color="auto"/>
        <w:bottom w:val="none" w:sz="0" w:space="0" w:color="auto"/>
        <w:right w:val="none" w:sz="0" w:space="0" w:color="auto"/>
      </w:divBdr>
    </w:div>
    <w:div w:id="1289317266">
      <w:bodyDiv w:val="1"/>
      <w:marLeft w:val="0"/>
      <w:marRight w:val="0"/>
      <w:marTop w:val="0"/>
      <w:marBottom w:val="0"/>
      <w:divBdr>
        <w:top w:val="none" w:sz="0" w:space="0" w:color="auto"/>
        <w:left w:val="none" w:sz="0" w:space="0" w:color="auto"/>
        <w:bottom w:val="none" w:sz="0" w:space="0" w:color="auto"/>
        <w:right w:val="none" w:sz="0" w:space="0" w:color="auto"/>
      </w:divBdr>
    </w:div>
    <w:div w:id="1490055001">
      <w:bodyDiv w:val="1"/>
      <w:marLeft w:val="0"/>
      <w:marRight w:val="0"/>
      <w:marTop w:val="0"/>
      <w:marBottom w:val="0"/>
      <w:divBdr>
        <w:top w:val="none" w:sz="0" w:space="0" w:color="auto"/>
        <w:left w:val="none" w:sz="0" w:space="0" w:color="auto"/>
        <w:bottom w:val="none" w:sz="0" w:space="0" w:color="auto"/>
        <w:right w:val="none" w:sz="0" w:space="0" w:color="auto"/>
      </w:divBdr>
    </w:div>
    <w:div w:id="1490364595">
      <w:bodyDiv w:val="1"/>
      <w:marLeft w:val="0"/>
      <w:marRight w:val="0"/>
      <w:marTop w:val="0"/>
      <w:marBottom w:val="0"/>
      <w:divBdr>
        <w:top w:val="none" w:sz="0" w:space="0" w:color="auto"/>
        <w:left w:val="none" w:sz="0" w:space="0" w:color="auto"/>
        <w:bottom w:val="none" w:sz="0" w:space="0" w:color="auto"/>
        <w:right w:val="none" w:sz="0" w:space="0" w:color="auto"/>
      </w:divBdr>
    </w:div>
    <w:div w:id="1605764250">
      <w:bodyDiv w:val="1"/>
      <w:marLeft w:val="0"/>
      <w:marRight w:val="0"/>
      <w:marTop w:val="0"/>
      <w:marBottom w:val="0"/>
      <w:divBdr>
        <w:top w:val="none" w:sz="0" w:space="0" w:color="auto"/>
        <w:left w:val="none" w:sz="0" w:space="0" w:color="auto"/>
        <w:bottom w:val="none" w:sz="0" w:space="0" w:color="auto"/>
        <w:right w:val="none" w:sz="0" w:space="0" w:color="auto"/>
      </w:divBdr>
    </w:div>
    <w:div w:id="1828277333">
      <w:bodyDiv w:val="1"/>
      <w:marLeft w:val="0"/>
      <w:marRight w:val="0"/>
      <w:marTop w:val="0"/>
      <w:marBottom w:val="0"/>
      <w:divBdr>
        <w:top w:val="none" w:sz="0" w:space="0" w:color="auto"/>
        <w:left w:val="none" w:sz="0" w:space="0" w:color="auto"/>
        <w:bottom w:val="none" w:sz="0" w:space="0" w:color="auto"/>
        <w:right w:val="none" w:sz="0" w:space="0" w:color="auto"/>
      </w:divBdr>
      <w:divsChild>
        <w:div w:id="1896114455">
          <w:marLeft w:val="0"/>
          <w:marRight w:val="0"/>
          <w:marTop w:val="77"/>
          <w:marBottom w:val="0"/>
          <w:divBdr>
            <w:top w:val="none" w:sz="0" w:space="0" w:color="auto"/>
            <w:left w:val="none" w:sz="0" w:space="0" w:color="auto"/>
            <w:bottom w:val="none" w:sz="0" w:space="0" w:color="auto"/>
            <w:right w:val="none" w:sz="0" w:space="0" w:color="auto"/>
          </w:divBdr>
        </w:div>
        <w:div w:id="1300915438">
          <w:marLeft w:val="0"/>
          <w:marRight w:val="0"/>
          <w:marTop w:val="77"/>
          <w:marBottom w:val="0"/>
          <w:divBdr>
            <w:top w:val="none" w:sz="0" w:space="0" w:color="auto"/>
            <w:left w:val="none" w:sz="0" w:space="0" w:color="auto"/>
            <w:bottom w:val="none" w:sz="0" w:space="0" w:color="auto"/>
            <w:right w:val="none" w:sz="0" w:space="0" w:color="auto"/>
          </w:divBdr>
        </w:div>
        <w:div w:id="773016053">
          <w:marLeft w:val="0"/>
          <w:marRight w:val="0"/>
          <w:marTop w:val="77"/>
          <w:marBottom w:val="0"/>
          <w:divBdr>
            <w:top w:val="none" w:sz="0" w:space="0" w:color="auto"/>
            <w:left w:val="none" w:sz="0" w:space="0" w:color="auto"/>
            <w:bottom w:val="none" w:sz="0" w:space="0" w:color="auto"/>
            <w:right w:val="none" w:sz="0" w:space="0" w:color="auto"/>
          </w:divBdr>
        </w:div>
        <w:div w:id="1803884502">
          <w:marLeft w:val="0"/>
          <w:marRight w:val="0"/>
          <w:marTop w:val="77"/>
          <w:marBottom w:val="0"/>
          <w:divBdr>
            <w:top w:val="none" w:sz="0" w:space="0" w:color="auto"/>
            <w:left w:val="none" w:sz="0" w:space="0" w:color="auto"/>
            <w:bottom w:val="none" w:sz="0" w:space="0" w:color="auto"/>
            <w:right w:val="none" w:sz="0" w:space="0" w:color="auto"/>
          </w:divBdr>
        </w:div>
        <w:div w:id="2109421036">
          <w:marLeft w:val="0"/>
          <w:marRight w:val="0"/>
          <w:marTop w:val="77"/>
          <w:marBottom w:val="0"/>
          <w:divBdr>
            <w:top w:val="none" w:sz="0" w:space="0" w:color="auto"/>
            <w:left w:val="none" w:sz="0" w:space="0" w:color="auto"/>
            <w:bottom w:val="none" w:sz="0" w:space="0" w:color="auto"/>
            <w:right w:val="none" w:sz="0" w:space="0" w:color="auto"/>
          </w:divBdr>
        </w:div>
        <w:div w:id="1162506737">
          <w:marLeft w:val="0"/>
          <w:marRight w:val="0"/>
          <w:marTop w:val="77"/>
          <w:marBottom w:val="0"/>
          <w:divBdr>
            <w:top w:val="none" w:sz="0" w:space="0" w:color="auto"/>
            <w:left w:val="none" w:sz="0" w:space="0" w:color="auto"/>
            <w:bottom w:val="none" w:sz="0" w:space="0" w:color="auto"/>
            <w:right w:val="none" w:sz="0" w:space="0" w:color="auto"/>
          </w:divBdr>
        </w:div>
        <w:div w:id="1451970067">
          <w:marLeft w:val="0"/>
          <w:marRight w:val="0"/>
          <w:marTop w:val="77"/>
          <w:marBottom w:val="0"/>
          <w:divBdr>
            <w:top w:val="none" w:sz="0" w:space="0" w:color="auto"/>
            <w:left w:val="none" w:sz="0" w:space="0" w:color="auto"/>
            <w:bottom w:val="none" w:sz="0" w:space="0" w:color="auto"/>
            <w:right w:val="none" w:sz="0" w:space="0" w:color="auto"/>
          </w:divBdr>
        </w:div>
        <w:div w:id="1406758742">
          <w:marLeft w:val="0"/>
          <w:marRight w:val="0"/>
          <w:marTop w:val="77"/>
          <w:marBottom w:val="0"/>
          <w:divBdr>
            <w:top w:val="none" w:sz="0" w:space="0" w:color="auto"/>
            <w:left w:val="none" w:sz="0" w:space="0" w:color="auto"/>
            <w:bottom w:val="none" w:sz="0" w:space="0" w:color="auto"/>
            <w:right w:val="none" w:sz="0" w:space="0" w:color="auto"/>
          </w:divBdr>
        </w:div>
      </w:divsChild>
    </w:div>
    <w:div w:id="1901282596">
      <w:bodyDiv w:val="1"/>
      <w:marLeft w:val="0"/>
      <w:marRight w:val="0"/>
      <w:marTop w:val="0"/>
      <w:marBottom w:val="0"/>
      <w:divBdr>
        <w:top w:val="none" w:sz="0" w:space="0" w:color="auto"/>
        <w:left w:val="none" w:sz="0" w:space="0" w:color="auto"/>
        <w:bottom w:val="none" w:sz="0" w:space="0" w:color="auto"/>
        <w:right w:val="none" w:sz="0" w:space="0" w:color="auto"/>
      </w:divBdr>
    </w:div>
    <w:div w:id="1903902696">
      <w:bodyDiv w:val="1"/>
      <w:marLeft w:val="0"/>
      <w:marRight w:val="0"/>
      <w:marTop w:val="0"/>
      <w:marBottom w:val="0"/>
      <w:divBdr>
        <w:top w:val="none" w:sz="0" w:space="0" w:color="auto"/>
        <w:left w:val="none" w:sz="0" w:space="0" w:color="auto"/>
        <w:bottom w:val="none" w:sz="0" w:space="0" w:color="auto"/>
        <w:right w:val="none" w:sz="0" w:space="0" w:color="auto"/>
      </w:divBdr>
    </w:div>
    <w:div w:id="1935280078">
      <w:bodyDiv w:val="1"/>
      <w:marLeft w:val="0"/>
      <w:marRight w:val="0"/>
      <w:marTop w:val="0"/>
      <w:marBottom w:val="0"/>
      <w:divBdr>
        <w:top w:val="none" w:sz="0" w:space="0" w:color="auto"/>
        <w:left w:val="none" w:sz="0" w:space="0" w:color="auto"/>
        <w:bottom w:val="none" w:sz="0" w:space="0" w:color="auto"/>
        <w:right w:val="none" w:sz="0" w:space="0" w:color="auto"/>
      </w:divBdr>
    </w:div>
    <w:div w:id="197482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2126</Words>
  <Characters>13397</Characters>
  <Application>Microsoft Office Word</Application>
  <DocSecurity>0</DocSecurity>
  <Lines>111</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Franziska Witzmann</dc:creator>
  <cp:lastModifiedBy>Franziska Witzmann</cp:lastModifiedBy>
  <cp:revision>7</cp:revision>
  <dcterms:created xsi:type="dcterms:W3CDTF">2018-02-19T14:14:00Z</dcterms:created>
  <dcterms:modified xsi:type="dcterms:W3CDTF">2018-03-01T10:51:00Z</dcterms:modified>
</cp:coreProperties>
</file>