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C3A" w:rsidRPr="00B26565" w:rsidRDefault="00B26565" w:rsidP="00B26565">
      <w:pPr>
        <w:spacing w:line="360" w:lineRule="auto"/>
        <w:jc w:val="right"/>
        <w:rPr>
          <w:rFonts w:ascii="Arial" w:hAnsi="Arial" w:cs="Arial"/>
          <w:b/>
          <w:sz w:val="36"/>
        </w:rPr>
      </w:pPr>
      <w:r>
        <w:rPr>
          <w:rFonts w:ascii="Arial" w:hAnsi="Arial" w:cs="Arial"/>
          <w:b/>
          <w:noProof/>
          <w:sz w:val="36"/>
        </w:rPr>
        <w:drawing>
          <wp:inline distT="0" distB="0" distL="0" distR="0" wp14:anchorId="295F55BD">
            <wp:extent cx="1481455" cy="1524000"/>
            <wp:effectExtent l="0" t="0" r="4445" b="0"/>
            <wp:docPr id="1" name="Grafik 1" descr="IS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1455" cy="1524000"/>
                    </a:xfrm>
                    <a:prstGeom prst="rect">
                      <a:avLst/>
                    </a:prstGeom>
                    <a:noFill/>
                  </pic:spPr>
                </pic:pic>
              </a:graphicData>
            </a:graphic>
          </wp:inline>
        </w:drawing>
      </w:r>
    </w:p>
    <w:p w:rsidR="00D15229" w:rsidRPr="00B26565" w:rsidRDefault="00D15229" w:rsidP="00B26565">
      <w:pPr>
        <w:spacing w:line="360" w:lineRule="auto"/>
        <w:jc w:val="center"/>
        <w:rPr>
          <w:rFonts w:ascii="Arial" w:hAnsi="Arial" w:cs="Arial"/>
          <w:sz w:val="24"/>
        </w:rPr>
      </w:pPr>
      <w:r w:rsidRPr="00B26565">
        <w:rPr>
          <w:rFonts w:ascii="Arial" w:hAnsi="Arial" w:cs="Arial"/>
          <w:b/>
          <w:sz w:val="36"/>
        </w:rPr>
        <w:t>„Menschenrechts-Bingo“</w:t>
      </w:r>
    </w:p>
    <w:p w:rsidR="00D15229" w:rsidRPr="00B26565" w:rsidRDefault="00D15229" w:rsidP="00B26565">
      <w:pPr>
        <w:spacing w:line="360" w:lineRule="auto"/>
        <w:rPr>
          <w:rFonts w:ascii="Arial" w:hAnsi="Arial" w:cs="Arial"/>
          <w:sz w:val="24"/>
        </w:rPr>
      </w:pPr>
    </w:p>
    <w:p w:rsidR="00D15229" w:rsidRPr="00B26565" w:rsidRDefault="00D15229" w:rsidP="00B26565">
      <w:pPr>
        <w:pStyle w:val="berschrift2"/>
        <w:spacing w:line="360" w:lineRule="auto"/>
        <w:rPr>
          <w:rFonts w:cs="Arial"/>
        </w:rPr>
      </w:pPr>
      <w:r w:rsidRPr="00B26565">
        <w:rPr>
          <w:rFonts w:cs="Arial"/>
        </w:rPr>
        <w:t>1. Ziel</w:t>
      </w:r>
      <w:bookmarkStart w:id="0" w:name="_GoBack"/>
      <w:bookmarkEnd w:id="0"/>
    </w:p>
    <w:p w:rsidR="00D15229" w:rsidRPr="00B26565" w:rsidRDefault="00D15229" w:rsidP="00B26565">
      <w:pPr>
        <w:spacing w:line="360" w:lineRule="auto"/>
        <w:rPr>
          <w:rFonts w:ascii="Arial" w:hAnsi="Arial" w:cs="Arial"/>
          <w:sz w:val="24"/>
        </w:rPr>
      </w:pPr>
      <w:r w:rsidRPr="00B26565">
        <w:rPr>
          <w:rFonts w:ascii="Arial" w:hAnsi="Arial" w:cs="Arial"/>
          <w:sz w:val="24"/>
        </w:rPr>
        <w:t>Das Menschenrechts-Bingo kann als Einstiegsübung zum Thema Menschenrechte eingesetzt werden. Auf spielerische Weise nähern sich die Teilnehmenden der komplexen Materie. Sie beschäftigen sich mit Menschenrechten unter verschiedenen Blickwinkeln und bringen eigene Erfahrungen und eigenes Wissen ein.</w:t>
      </w:r>
    </w:p>
    <w:p w:rsidR="00D15229" w:rsidRPr="00B26565" w:rsidRDefault="00D15229" w:rsidP="00B26565">
      <w:pPr>
        <w:spacing w:line="360" w:lineRule="auto"/>
        <w:rPr>
          <w:rFonts w:ascii="Arial" w:hAnsi="Arial" w:cs="Arial"/>
          <w:b/>
          <w:sz w:val="24"/>
          <w:u w:val="single"/>
        </w:rPr>
      </w:pPr>
    </w:p>
    <w:p w:rsidR="00D15229" w:rsidRPr="00B26565" w:rsidRDefault="00D15229" w:rsidP="00B26565">
      <w:pPr>
        <w:spacing w:line="360" w:lineRule="auto"/>
        <w:rPr>
          <w:rFonts w:ascii="Arial" w:hAnsi="Arial" w:cs="Arial"/>
          <w:b/>
          <w:sz w:val="24"/>
          <w:u w:val="single"/>
        </w:rPr>
      </w:pPr>
      <w:r w:rsidRPr="00B26565">
        <w:rPr>
          <w:rFonts w:ascii="Arial" w:hAnsi="Arial" w:cs="Arial"/>
          <w:b/>
          <w:sz w:val="24"/>
          <w:u w:val="single"/>
        </w:rPr>
        <w:t>2. Zeitbedarf</w:t>
      </w:r>
    </w:p>
    <w:p w:rsidR="00D15229" w:rsidRPr="00B26565" w:rsidRDefault="00D15229" w:rsidP="00B26565">
      <w:pPr>
        <w:spacing w:line="360" w:lineRule="auto"/>
        <w:rPr>
          <w:rFonts w:ascii="Arial" w:hAnsi="Arial" w:cs="Arial"/>
          <w:sz w:val="24"/>
        </w:rPr>
      </w:pPr>
      <w:r w:rsidRPr="00B26565">
        <w:rPr>
          <w:rFonts w:ascii="Arial" w:hAnsi="Arial" w:cs="Arial"/>
          <w:sz w:val="24"/>
        </w:rPr>
        <w:t>etwa 30 Minuten</w:t>
      </w:r>
    </w:p>
    <w:p w:rsidR="00D15229" w:rsidRPr="00B26565" w:rsidRDefault="00D15229" w:rsidP="00B26565">
      <w:pPr>
        <w:pStyle w:val="berschrift2"/>
        <w:spacing w:line="360" w:lineRule="auto"/>
        <w:rPr>
          <w:rFonts w:cs="Arial"/>
        </w:rPr>
      </w:pPr>
    </w:p>
    <w:p w:rsidR="00D15229" w:rsidRPr="00B26565" w:rsidRDefault="00D15229" w:rsidP="00B26565">
      <w:pPr>
        <w:pStyle w:val="berschrift2"/>
        <w:spacing w:line="360" w:lineRule="auto"/>
        <w:rPr>
          <w:rFonts w:cs="Arial"/>
        </w:rPr>
      </w:pPr>
      <w:r w:rsidRPr="00B26565">
        <w:rPr>
          <w:rFonts w:cs="Arial"/>
        </w:rPr>
        <w:t>3. Spiel - Anleitung</w:t>
      </w:r>
    </w:p>
    <w:p w:rsidR="00D15229" w:rsidRPr="00B26565" w:rsidRDefault="00D15229" w:rsidP="00B26565">
      <w:pPr>
        <w:spacing w:line="360" w:lineRule="auto"/>
        <w:rPr>
          <w:rFonts w:ascii="Arial" w:hAnsi="Arial" w:cs="Arial"/>
          <w:sz w:val="24"/>
        </w:rPr>
      </w:pPr>
      <w:r w:rsidRPr="00B26565">
        <w:rPr>
          <w:rFonts w:ascii="Arial" w:hAnsi="Arial" w:cs="Arial"/>
          <w:sz w:val="24"/>
        </w:rPr>
        <w:t>Die Arbeitsblätter werden an alle TeilnehmerInnen verteilt. Die Teilnehmenden finden sich in Kleingruppen zu je 4-5 Personen zusammen, wobei in jeder Gruppe mindestens eine Person sehen und schreiben kann. Diese wird als schriftführende Person bestimmt. Das Arbeitsblatt wird von der Gruppe als Gemeinschaftsaufgabe ausgefüllt. Die Gruppe, die alle zwölf Felder als erste vollständig ausgefüllt hat, ruft „Bingo!“. Damit ist die Arbeit in den Kleingruppen beendet, alle versammeln sich wieder im Plenum.</w:t>
      </w:r>
    </w:p>
    <w:p w:rsidR="00D15229" w:rsidRPr="00B26565" w:rsidRDefault="00D15229" w:rsidP="00B26565">
      <w:pPr>
        <w:spacing w:line="360" w:lineRule="auto"/>
        <w:rPr>
          <w:rFonts w:ascii="Arial" w:hAnsi="Arial" w:cs="Arial"/>
          <w:sz w:val="24"/>
        </w:rPr>
      </w:pPr>
    </w:p>
    <w:p w:rsidR="00D15229" w:rsidRPr="00B26565" w:rsidRDefault="00D15229" w:rsidP="00B26565">
      <w:pPr>
        <w:spacing w:line="360" w:lineRule="auto"/>
        <w:rPr>
          <w:rFonts w:ascii="Arial" w:hAnsi="Arial" w:cs="Arial"/>
          <w:sz w:val="24"/>
        </w:rPr>
      </w:pPr>
      <w:r w:rsidRPr="00B26565">
        <w:rPr>
          <w:rFonts w:ascii="Arial" w:hAnsi="Arial" w:cs="Arial"/>
          <w:sz w:val="24"/>
        </w:rPr>
        <w:t xml:space="preserve">In der anschließenden Auswertung geht es nicht um „richtig“ oder „falsch“ und auch nicht um Vollständigkeit. Das heißt, es müssen nicht alle Aufgaben besprochen werden, vielmehr werden die Fragestellungen zum Anlass genommen, gemeinsam über Menschenrechte zu sprechen und zu diskutieren. Nach ca. 30 Minuten wird die Übung beendet. </w:t>
      </w:r>
    </w:p>
    <w:p w:rsidR="00B26565" w:rsidRDefault="00B26565" w:rsidP="00B26565">
      <w:pPr>
        <w:spacing w:line="360" w:lineRule="auto"/>
        <w:rPr>
          <w:rFonts w:ascii="Arial" w:hAnsi="Arial" w:cs="Arial"/>
          <w:sz w:val="24"/>
        </w:rPr>
      </w:pPr>
      <w:r>
        <w:rPr>
          <w:rFonts w:ascii="Arial" w:hAnsi="Arial" w:cs="Arial"/>
          <w:sz w:val="24"/>
        </w:rPr>
        <w:br w:type="page"/>
      </w:r>
    </w:p>
    <w:p w:rsidR="00D15229" w:rsidRPr="00B26565" w:rsidRDefault="00D15229" w:rsidP="00B26565">
      <w:pPr>
        <w:spacing w:line="360" w:lineRule="auto"/>
        <w:rPr>
          <w:rFonts w:ascii="Arial" w:hAnsi="Arial" w:cs="Arial"/>
          <w:sz w:val="24"/>
        </w:rPr>
      </w:pPr>
    </w:p>
    <w:p w:rsidR="00D15229" w:rsidRPr="00B26565" w:rsidRDefault="00D15229" w:rsidP="00B26565">
      <w:pPr>
        <w:spacing w:line="360" w:lineRule="auto"/>
        <w:rPr>
          <w:rFonts w:ascii="Arial" w:hAnsi="Arial" w:cs="Arial"/>
          <w:b/>
          <w:sz w:val="24"/>
          <w:u w:val="single"/>
        </w:rPr>
      </w:pPr>
      <w:r w:rsidRPr="00B26565">
        <w:rPr>
          <w:rFonts w:ascii="Arial" w:hAnsi="Arial" w:cs="Arial"/>
          <w:b/>
          <w:sz w:val="24"/>
          <w:u w:val="single"/>
        </w:rPr>
        <w:t>4. Materialien</w:t>
      </w:r>
    </w:p>
    <w:p w:rsidR="00D15229" w:rsidRPr="00B26565" w:rsidRDefault="00D15229" w:rsidP="00B26565">
      <w:pPr>
        <w:numPr>
          <w:ilvl w:val="0"/>
          <w:numId w:val="1"/>
        </w:numPr>
        <w:spacing w:line="360" w:lineRule="auto"/>
        <w:rPr>
          <w:rFonts w:ascii="Arial" w:hAnsi="Arial" w:cs="Arial"/>
          <w:sz w:val="24"/>
        </w:rPr>
      </w:pPr>
      <w:r w:rsidRPr="00B26565">
        <w:rPr>
          <w:rFonts w:ascii="Arial" w:hAnsi="Arial" w:cs="Arial"/>
          <w:sz w:val="24"/>
        </w:rPr>
        <w:t>Arbeitsblätter</w:t>
      </w:r>
    </w:p>
    <w:p w:rsidR="00D15229" w:rsidRPr="00B26565" w:rsidRDefault="00D15229" w:rsidP="00B26565">
      <w:pPr>
        <w:numPr>
          <w:ilvl w:val="0"/>
          <w:numId w:val="1"/>
        </w:numPr>
        <w:spacing w:line="360" w:lineRule="auto"/>
        <w:rPr>
          <w:rFonts w:ascii="Arial" w:hAnsi="Arial" w:cs="Arial"/>
          <w:sz w:val="24"/>
        </w:rPr>
      </w:pPr>
      <w:r w:rsidRPr="00B26565">
        <w:rPr>
          <w:rFonts w:ascii="Arial" w:hAnsi="Arial" w:cs="Arial"/>
          <w:sz w:val="24"/>
        </w:rPr>
        <w:t>Stifte</w:t>
      </w:r>
    </w:p>
    <w:p w:rsidR="00D15229" w:rsidRPr="00B26565" w:rsidRDefault="00D15229" w:rsidP="00B26565">
      <w:pPr>
        <w:numPr>
          <w:ilvl w:val="0"/>
          <w:numId w:val="1"/>
        </w:numPr>
        <w:spacing w:line="360" w:lineRule="auto"/>
        <w:rPr>
          <w:rFonts w:ascii="Arial" w:hAnsi="Arial" w:cs="Arial"/>
          <w:sz w:val="24"/>
        </w:rPr>
      </w:pPr>
      <w:r w:rsidRPr="00B26565">
        <w:rPr>
          <w:rFonts w:ascii="Arial" w:hAnsi="Arial" w:cs="Arial"/>
          <w:sz w:val="24"/>
        </w:rPr>
        <w:t>Flipchart o.Ä., um während der Diskussion wichtige Begriffe aufzuschreiben und damit zu visualisieren</w:t>
      </w:r>
    </w:p>
    <w:p w:rsidR="00B26565" w:rsidRDefault="00B26565" w:rsidP="00B26565">
      <w:pPr>
        <w:spacing w:line="360" w:lineRule="auto"/>
        <w:rPr>
          <w:rFonts w:ascii="Arial" w:hAnsi="Arial" w:cs="Arial"/>
          <w:sz w:val="24"/>
        </w:rPr>
      </w:pPr>
      <w:r>
        <w:rPr>
          <w:rFonts w:ascii="Arial" w:hAnsi="Arial" w:cs="Arial"/>
          <w:sz w:val="24"/>
        </w:rPr>
        <w:br w:type="page"/>
      </w:r>
    </w:p>
    <w:p w:rsidR="00893C3A" w:rsidRPr="00B26565" w:rsidRDefault="0092601E" w:rsidP="00B26565">
      <w:pPr>
        <w:pStyle w:val="berschrift1"/>
        <w:spacing w:line="360" w:lineRule="auto"/>
        <w:jc w:val="right"/>
        <w:rPr>
          <w:rFonts w:cs="Arial"/>
          <w:b/>
          <w:sz w:val="36"/>
        </w:rPr>
      </w:pPr>
      <w:bookmarkStart w:id="1" w:name="OLE_LINK1"/>
      <w:r w:rsidRPr="00B26565">
        <w:rPr>
          <w:rFonts w:cs="Arial"/>
          <w:b/>
          <w:noProof/>
          <w:sz w:val="36"/>
        </w:rPr>
        <w:lastRenderedPageBreak/>
        <w:drawing>
          <wp:inline distT="0" distB="0" distL="0" distR="0">
            <wp:extent cx="1483160" cy="1522674"/>
            <wp:effectExtent l="0" t="0" r="3175" b="1905"/>
            <wp:docPr id="3" name="Bild 3" descr="IS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3764" cy="1543827"/>
                    </a:xfrm>
                    <a:prstGeom prst="rect">
                      <a:avLst/>
                    </a:prstGeom>
                    <a:noFill/>
                    <a:ln>
                      <a:noFill/>
                    </a:ln>
                  </pic:spPr>
                </pic:pic>
              </a:graphicData>
            </a:graphic>
          </wp:inline>
        </w:drawing>
      </w:r>
    </w:p>
    <w:p w:rsidR="00D15229" w:rsidRPr="00B26565" w:rsidRDefault="00D15229" w:rsidP="00B26565">
      <w:pPr>
        <w:pStyle w:val="berschrift1"/>
        <w:spacing w:line="360" w:lineRule="auto"/>
        <w:jc w:val="center"/>
        <w:rPr>
          <w:rFonts w:cs="Arial"/>
          <w:b/>
          <w:sz w:val="36"/>
        </w:rPr>
      </w:pPr>
      <w:r w:rsidRPr="00B26565">
        <w:rPr>
          <w:rFonts w:cs="Arial"/>
          <w:b/>
          <w:sz w:val="36"/>
        </w:rPr>
        <w:t>„Menschenrechts-Bingo“</w:t>
      </w:r>
      <w:bookmarkEnd w:id="1"/>
      <w:r w:rsidRPr="00B26565">
        <w:rPr>
          <w:rFonts w:cs="Arial"/>
          <w:b/>
          <w:sz w:val="36"/>
        </w:rPr>
        <w:t xml:space="preserve"> – Arbeitsblatt</w:t>
      </w:r>
      <w:r w:rsidRPr="00B26565">
        <w:rPr>
          <w:rStyle w:val="Funotenzeichen"/>
          <w:rFonts w:cs="Arial"/>
          <w:b/>
          <w:sz w:val="36"/>
        </w:rPr>
        <w:footnoteReference w:id="1"/>
      </w:r>
      <w:r w:rsidRPr="00B26565">
        <w:rPr>
          <w:rFonts w:cs="Arial"/>
          <w:b/>
          <w:sz w:val="36"/>
        </w:rPr>
        <w:t xml:space="preserve"> </w:t>
      </w:r>
    </w:p>
    <w:p w:rsidR="00D15229" w:rsidRPr="00B26565" w:rsidRDefault="00D15229" w:rsidP="00B26565">
      <w:pPr>
        <w:spacing w:line="360" w:lineRule="auto"/>
        <w:rPr>
          <w:rFonts w:ascii="Arial" w:hAnsi="Arial" w:cs="Arial"/>
          <w:sz w:val="24"/>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893C3A" w:rsidRPr="00B26565" w:rsidTr="00B26565">
        <w:trPr>
          <w:trHeight w:val="2259"/>
        </w:trPr>
        <w:tc>
          <w:tcPr>
            <w:tcW w:w="3070" w:type="dxa"/>
          </w:tcPr>
          <w:p w:rsidR="00893C3A" w:rsidRPr="00B26565" w:rsidRDefault="00893C3A" w:rsidP="00B26565">
            <w:pPr>
              <w:spacing w:after="240" w:line="360" w:lineRule="auto"/>
              <w:rPr>
                <w:rFonts w:ascii="Arial" w:hAnsi="Arial" w:cs="Arial"/>
                <w:sz w:val="24"/>
              </w:rPr>
            </w:pPr>
            <w:r w:rsidRPr="00B26565">
              <w:rPr>
                <w:rFonts w:ascii="Arial" w:hAnsi="Arial" w:cs="Arial"/>
                <w:sz w:val="24"/>
              </w:rPr>
              <w:t>Eine Person, die für Menschenrechte kämpft(e)</w:t>
            </w:r>
          </w:p>
        </w:tc>
        <w:tc>
          <w:tcPr>
            <w:tcW w:w="3070" w:type="dxa"/>
          </w:tcPr>
          <w:p w:rsidR="00893C3A" w:rsidRPr="00B26565" w:rsidRDefault="00893C3A" w:rsidP="00B26565">
            <w:pPr>
              <w:spacing w:line="360" w:lineRule="auto"/>
              <w:rPr>
                <w:rFonts w:ascii="Arial" w:hAnsi="Arial" w:cs="Arial"/>
                <w:sz w:val="24"/>
              </w:rPr>
            </w:pPr>
            <w:r w:rsidRPr="00B26565">
              <w:rPr>
                <w:rFonts w:ascii="Arial" w:hAnsi="Arial" w:cs="Arial"/>
                <w:sz w:val="24"/>
              </w:rPr>
              <w:t>Eine aktuelle Herausforderung für die Menschenrechte</w:t>
            </w:r>
          </w:p>
        </w:tc>
        <w:tc>
          <w:tcPr>
            <w:tcW w:w="3070" w:type="dxa"/>
          </w:tcPr>
          <w:p w:rsidR="00893C3A" w:rsidRPr="00B26565" w:rsidRDefault="00893C3A" w:rsidP="00B26565">
            <w:pPr>
              <w:spacing w:line="360" w:lineRule="auto"/>
              <w:rPr>
                <w:rFonts w:ascii="Arial" w:hAnsi="Arial" w:cs="Arial"/>
                <w:sz w:val="24"/>
              </w:rPr>
            </w:pPr>
            <w:r w:rsidRPr="00B26565">
              <w:rPr>
                <w:rFonts w:ascii="Arial" w:hAnsi="Arial" w:cs="Arial"/>
                <w:sz w:val="24"/>
              </w:rPr>
              <w:t>Ein spezielles Menschenrecht, das alle Kinder haben sollten</w:t>
            </w:r>
          </w:p>
          <w:p w:rsidR="00893C3A" w:rsidRPr="00B26565" w:rsidRDefault="00893C3A" w:rsidP="00B26565">
            <w:pPr>
              <w:spacing w:line="360" w:lineRule="auto"/>
              <w:rPr>
                <w:rFonts w:ascii="Arial" w:hAnsi="Arial" w:cs="Arial"/>
                <w:sz w:val="24"/>
              </w:rPr>
            </w:pPr>
          </w:p>
          <w:p w:rsidR="00893C3A" w:rsidRPr="00B26565" w:rsidRDefault="00893C3A" w:rsidP="00B26565">
            <w:pPr>
              <w:spacing w:line="360" w:lineRule="auto"/>
              <w:rPr>
                <w:rFonts w:ascii="Arial" w:hAnsi="Arial" w:cs="Arial"/>
                <w:sz w:val="24"/>
              </w:rPr>
            </w:pPr>
          </w:p>
        </w:tc>
      </w:tr>
      <w:tr w:rsidR="00893C3A" w:rsidRPr="00B26565" w:rsidTr="005E58D5">
        <w:trPr>
          <w:trHeight w:val="2466"/>
        </w:trPr>
        <w:tc>
          <w:tcPr>
            <w:tcW w:w="3070" w:type="dxa"/>
          </w:tcPr>
          <w:p w:rsidR="00893C3A" w:rsidRPr="00B26565" w:rsidRDefault="00893C3A" w:rsidP="00B26565">
            <w:pPr>
              <w:spacing w:after="240" w:line="360" w:lineRule="auto"/>
              <w:rPr>
                <w:rFonts w:ascii="Arial" w:hAnsi="Arial" w:cs="Arial"/>
                <w:sz w:val="24"/>
              </w:rPr>
            </w:pPr>
            <w:r w:rsidRPr="00B26565">
              <w:rPr>
                <w:rFonts w:ascii="Arial" w:hAnsi="Arial" w:cs="Arial"/>
                <w:sz w:val="24"/>
              </w:rPr>
              <w:t xml:space="preserve">Gesetze, die in Deutschland vor Diskriminierung schützen </w:t>
            </w:r>
          </w:p>
          <w:p w:rsidR="00893C3A" w:rsidRPr="00B26565" w:rsidRDefault="00893C3A" w:rsidP="00B26565">
            <w:pPr>
              <w:spacing w:line="360" w:lineRule="auto"/>
              <w:rPr>
                <w:rFonts w:ascii="Arial" w:hAnsi="Arial" w:cs="Arial"/>
                <w:sz w:val="24"/>
              </w:rPr>
            </w:pPr>
          </w:p>
        </w:tc>
        <w:tc>
          <w:tcPr>
            <w:tcW w:w="3070" w:type="dxa"/>
          </w:tcPr>
          <w:p w:rsidR="00893C3A" w:rsidRPr="00B26565" w:rsidRDefault="00893C3A" w:rsidP="00B26565">
            <w:pPr>
              <w:spacing w:line="360" w:lineRule="auto"/>
              <w:rPr>
                <w:rFonts w:ascii="Arial" w:hAnsi="Arial" w:cs="Arial"/>
                <w:sz w:val="24"/>
              </w:rPr>
            </w:pPr>
            <w:r w:rsidRPr="00B26565">
              <w:rPr>
                <w:rFonts w:ascii="Arial" w:hAnsi="Arial" w:cs="Arial"/>
                <w:sz w:val="24"/>
              </w:rPr>
              <w:t>Ein Recht, das Ihnen persönlich verwehrt wurde oder wird</w:t>
            </w:r>
          </w:p>
        </w:tc>
        <w:tc>
          <w:tcPr>
            <w:tcW w:w="3070" w:type="dxa"/>
          </w:tcPr>
          <w:p w:rsidR="00893C3A" w:rsidRPr="00B26565" w:rsidRDefault="00893C3A" w:rsidP="00B26565">
            <w:pPr>
              <w:spacing w:line="360" w:lineRule="auto"/>
              <w:rPr>
                <w:rFonts w:ascii="Arial" w:hAnsi="Arial" w:cs="Arial"/>
                <w:sz w:val="24"/>
              </w:rPr>
            </w:pPr>
            <w:r w:rsidRPr="00B26565">
              <w:rPr>
                <w:rFonts w:ascii="Arial" w:hAnsi="Arial" w:cs="Arial"/>
                <w:sz w:val="24"/>
              </w:rPr>
              <w:t>Eine Organisation, die für die Menschenrechte kämpft</w:t>
            </w:r>
          </w:p>
        </w:tc>
      </w:tr>
      <w:tr w:rsidR="00893C3A" w:rsidRPr="00B26565" w:rsidTr="005E58D5">
        <w:trPr>
          <w:trHeight w:val="2466"/>
        </w:trPr>
        <w:tc>
          <w:tcPr>
            <w:tcW w:w="3070" w:type="dxa"/>
          </w:tcPr>
          <w:p w:rsidR="00893C3A" w:rsidRPr="00B26565" w:rsidRDefault="00893C3A" w:rsidP="00B26565">
            <w:pPr>
              <w:spacing w:after="240" w:line="360" w:lineRule="auto"/>
              <w:rPr>
                <w:rFonts w:ascii="Arial" w:hAnsi="Arial" w:cs="Arial"/>
                <w:sz w:val="24"/>
              </w:rPr>
            </w:pPr>
            <w:r w:rsidRPr="00B26565">
              <w:rPr>
                <w:rFonts w:ascii="Arial" w:hAnsi="Arial" w:cs="Arial"/>
                <w:i/>
                <w:sz w:val="24"/>
              </w:rPr>
              <w:t>Menschenwürde</w:t>
            </w:r>
            <w:r w:rsidRPr="00B26565">
              <w:rPr>
                <w:rFonts w:ascii="Arial" w:hAnsi="Arial" w:cs="Arial"/>
                <w:sz w:val="24"/>
              </w:rPr>
              <w:t xml:space="preserve"> – das bedeutet für mich ...</w:t>
            </w:r>
          </w:p>
          <w:p w:rsidR="00893C3A" w:rsidRPr="00B26565" w:rsidRDefault="00893C3A" w:rsidP="00B26565">
            <w:pPr>
              <w:spacing w:line="360" w:lineRule="auto"/>
              <w:rPr>
                <w:rFonts w:ascii="Arial" w:hAnsi="Arial" w:cs="Arial"/>
                <w:sz w:val="24"/>
              </w:rPr>
            </w:pPr>
          </w:p>
        </w:tc>
        <w:tc>
          <w:tcPr>
            <w:tcW w:w="3070" w:type="dxa"/>
          </w:tcPr>
          <w:p w:rsidR="00893C3A" w:rsidRPr="00B26565" w:rsidRDefault="00893C3A" w:rsidP="00B26565">
            <w:pPr>
              <w:spacing w:line="360" w:lineRule="auto"/>
              <w:rPr>
                <w:rFonts w:ascii="Arial" w:hAnsi="Arial" w:cs="Arial"/>
                <w:sz w:val="24"/>
              </w:rPr>
            </w:pPr>
            <w:r w:rsidRPr="00B26565">
              <w:rPr>
                <w:rFonts w:ascii="Arial" w:hAnsi="Arial" w:cs="Arial"/>
                <w:sz w:val="24"/>
              </w:rPr>
              <w:t>Ein Beispiel für mehrfache Diskriminierung</w:t>
            </w:r>
          </w:p>
        </w:tc>
        <w:tc>
          <w:tcPr>
            <w:tcW w:w="3070" w:type="dxa"/>
          </w:tcPr>
          <w:p w:rsidR="00893C3A" w:rsidRPr="00B26565" w:rsidRDefault="00893C3A" w:rsidP="00B26565">
            <w:pPr>
              <w:spacing w:line="360" w:lineRule="auto"/>
              <w:rPr>
                <w:rFonts w:ascii="Arial" w:hAnsi="Arial" w:cs="Arial"/>
                <w:sz w:val="24"/>
              </w:rPr>
            </w:pPr>
            <w:r w:rsidRPr="00B26565">
              <w:rPr>
                <w:rFonts w:ascii="Arial" w:hAnsi="Arial" w:cs="Arial"/>
                <w:sz w:val="24"/>
              </w:rPr>
              <w:t>Ein Recht, welches Mädchen oder Frauen manchmal verwehrt wird</w:t>
            </w:r>
          </w:p>
          <w:p w:rsidR="00893C3A" w:rsidRPr="00B26565" w:rsidRDefault="00893C3A" w:rsidP="00B26565">
            <w:pPr>
              <w:spacing w:line="360" w:lineRule="auto"/>
              <w:rPr>
                <w:rFonts w:ascii="Arial" w:hAnsi="Arial" w:cs="Arial"/>
                <w:sz w:val="24"/>
              </w:rPr>
            </w:pPr>
          </w:p>
          <w:p w:rsidR="00893C3A" w:rsidRPr="00B26565" w:rsidRDefault="00893C3A" w:rsidP="00B26565">
            <w:pPr>
              <w:spacing w:line="360" w:lineRule="auto"/>
              <w:rPr>
                <w:rFonts w:ascii="Arial" w:hAnsi="Arial" w:cs="Arial"/>
                <w:sz w:val="24"/>
              </w:rPr>
            </w:pPr>
          </w:p>
        </w:tc>
      </w:tr>
      <w:tr w:rsidR="00893C3A" w:rsidRPr="00B26565" w:rsidTr="005E58D5">
        <w:trPr>
          <w:trHeight w:val="2466"/>
        </w:trPr>
        <w:tc>
          <w:tcPr>
            <w:tcW w:w="3070" w:type="dxa"/>
          </w:tcPr>
          <w:p w:rsidR="00893C3A" w:rsidRPr="00B26565" w:rsidRDefault="00893C3A" w:rsidP="00B26565">
            <w:pPr>
              <w:pStyle w:val="Textkrper"/>
              <w:spacing w:line="360" w:lineRule="auto"/>
              <w:rPr>
                <w:rFonts w:cs="Arial"/>
              </w:rPr>
            </w:pPr>
            <w:r w:rsidRPr="00B26565">
              <w:rPr>
                <w:rFonts w:cs="Arial"/>
              </w:rPr>
              <w:t>Name eines Dokuments zum Schutz der Menschenrechte</w:t>
            </w:r>
          </w:p>
        </w:tc>
        <w:tc>
          <w:tcPr>
            <w:tcW w:w="3070" w:type="dxa"/>
          </w:tcPr>
          <w:p w:rsidR="00893C3A" w:rsidRPr="00B26565" w:rsidRDefault="00893C3A" w:rsidP="00B26565">
            <w:pPr>
              <w:spacing w:line="360" w:lineRule="auto"/>
              <w:rPr>
                <w:rFonts w:ascii="Arial" w:hAnsi="Arial" w:cs="Arial"/>
                <w:sz w:val="24"/>
              </w:rPr>
            </w:pPr>
            <w:r w:rsidRPr="00B26565">
              <w:rPr>
                <w:rFonts w:ascii="Arial" w:hAnsi="Arial" w:cs="Arial"/>
                <w:sz w:val="24"/>
              </w:rPr>
              <w:t>Ein Beispiel für Diskriminierung</w:t>
            </w:r>
          </w:p>
          <w:p w:rsidR="00893C3A" w:rsidRPr="00B26565" w:rsidRDefault="00893C3A" w:rsidP="00B26565">
            <w:pPr>
              <w:spacing w:line="360" w:lineRule="auto"/>
              <w:rPr>
                <w:rFonts w:ascii="Arial" w:hAnsi="Arial" w:cs="Arial"/>
                <w:sz w:val="24"/>
              </w:rPr>
            </w:pPr>
          </w:p>
          <w:p w:rsidR="00893C3A" w:rsidRPr="00B26565" w:rsidRDefault="00893C3A" w:rsidP="00B26565">
            <w:pPr>
              <w:spacing w:line="360" w:lineRule="auto"/>
              <w:rPr>
                <w:rFonts w:ascii="Arial" w:hAnsi="Arial" w:cs="Arial"/>
                <w:sz w:val="24"/>
              </w:rPr>
            </w:pPr>
          </w:p>
        </w:tc>
        <w:tc>
          <w:tcPr>
            <w:tcW w:w="3070" w:type="dxa"/>
          </w:tcPr>
          <w:p w:rsidR="00893C3A" w:rsidRPr="00B26565" w:rsidRDefault="00893C3A" w:rsidP="00B26565">
            <w:pPr>
              <w:spacing w:line="360" w:lineRule="auto"/>
              <w:rPr>
                <w:rFonts w:ascii="Arial" w:hAnsi="Arial" w:cs="Arial"/>
                <w:sz w:val="24"/>
              </w:rPr>
            </w:pPr>
            <w:r w:rsidRPr="00B26565">
              <w:rPr>
                <w:rFonts w:ascii="Arial" w:hAnsi="Arial" w:cs="Arial"/>
                <w:sz w:val="24"/>
              </w:rPr>
              <w:t>Ein Recht, das für Menschen mit Behinderungen besonders wichtig ist</w:t>
            </w:r>
          </w:p>
          <w:p w:rsidR="00893C3A" w:rsidRPr="00B26565" w:rsidRDefault="00893C3A" w:rsidP="00B26565">
            <w:pPr>
              <w:spacing w:line="360" w:lineRule="auto"/>
              <w:rPr>
                <w:rFonts w:ascii="Arial" w:hAnsi="Arial" w:cs="Arial"/>
                <w:sz w:val="24"/>
              </w:rPr>
            </w:pPr>
          </w:p>
          <w:p w:rsidR="00893C3A" w:rsidRPr="00B26565" w:rsidRDefault="00893C3A" w:rsidP="00B26565">
            <w:pPr>
              <w:spacing w:line="360" w:lineRule="auto"/>
              <w:rPr>
                <w:rFonts w:ascii="Arial" w:hAnsi="Arial" w:cs="Arial"/>
                <w:sz w:val="24"/>
              </w:rPr>
            </w:pPr>
          </w:p>
        </w:tc>
      </w:tr>
    </w:tbl>
    <w:p w:rsidR="00D15229" w:rsidRPr="00B26565" w:rsidRDefault="00D15229" w:rsidP="00B26565">
      <w:pPr>
        <w:spacing w:line="360" w:lineRule="auto"/>
        <w:rPr>
          <w:rFonts w:ascii="Arial" w:hAnsi="Arial" w:cs="Arial"/>
          <w:sz w:val="24"/>
        </w:rPr>
      </w:pPr>
    </w:p>
    <w:sectPr w:rsidR="00D15229" w:rsidRPr="00B26565">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7614" w:rsidRDefault="00FB7614">
      <w:r>
        <w:separator/>
      </w:r>
    </w:p>
  </w:endnote>
  <w:endnote w:type="continuationSeparator" w:id="0">
    <w:p w:rsidR="00FB7614" w:rsidRDefault="00FB7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7614" w:rsidRDefault="00FB7614">
      <w:r>
        <w:separator/>
      </w:r>
    </w:p>
  </w:footnote>
  <w:footnote w:type="continuationSeparator" w:id="0">
    <w:p w:rsidR="00FB7614" w:rsidRDefault="00FB7614">
      <w:r>
        <w:continuationSeparator/>
      </w:r>
    </w:p>
  </w:footnote>
  <w:footnote w:id="1">
    <w:p w:rsidR="00D15229" w:rsidRDefault="00D15229">
      <w:pPr>
        <w:pStyle w:val="Funotentext"/>
      </w:pPr>
      <w:r>
        <w:rPr>
          <w:rStyle w:val="Funotenzeichen"/>
        </w:rPr>
        <w:footnoteRef/>
      </w:r>
      <w:r>
        <w:t xml:space="preserve"> Dieses ISL-Projekt wird gefördert durch die Aktion Mensch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B20A3"/>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250"/>
    <w:rsid w:val="003A7250"/>
    <w:rsid w:val="003F4924"/>
    <w:rsid w:val="004775AE"/>
    <w:rsid w:val="004B69A0"/>
    <w:rsid w:val="005E58D5"/>
    <w:rsid w:val="00893C3A"/>
    <w:rsid w:val="0092601E"/>
    <w:rsid w:val="00B26565"/>
    <w:rsid w:val="00D15229"/>
    <w:rsid w:val="00E97E32"/>
    <w:rsid w:val="00FB76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A6574"/>
  <w15:chartTrackingRefBased/>
  <w15:docId w15:val="{F07C8DC4-5186-4E83-BA2F-9B75E0749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sz w:val="24"/>
    </w:rPr>
  </w:style>
  <w:style w:type="paragraph" w:styleId="berschrift2">
    <w:name w:val="heading 2"/>
    <w:basedOn w:val="Standard"/>
    <w:next w:val="Standard"/>
    <w:qFormat/>
    <w:pPr>
      <w:keepNext/>
      <w:outlineLvl w:val="1"/>
    </w:pPr>
    <w:rPr>
      <w:rFonts w:ascii="Arial" w:hAnsi="Arial"/>
      <w:b/>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rFonts w:ascii="Arial" w:hAnsi="Arial"/>
      <w:sz w:val="24"/>
    </w:rPr>
  </w:style>
  <w:style w:type="paragraph" w:styleId="Funotentext">
    <w:name w:val="footnote text"/>
    <w:basedOn w:val="Standard"/>
    <w:semiHidden/>
  </w:style>
  <w:style w:type="character" w:styleId="Funotenzeichen">
    <w:name w:val="footnote reference"/>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281</Words>
  <Characters>1771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„Menschenrechts-Bingo“</vt:lpstr>
    </vt:vector>
  </TitlesOfParts>
  <Company>JoB.-Medienbüro</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„Menschenrechts-Bingo“</dc:title>
  <dc:subject/>
  <dc:creator>Sigrid Arnade</dc:creator>
  <cp:keywords/>
  <cp:lastModifiedBy>Amelie Schmidt</cp:lastModifiedBy>
  <cp:revision>7</cp:revision>
  <cp:lastPrinted>2011-06-20T15:42:00Z</cp:lastPrinted>
  <dcterms:created xsi:type="dcterms:W3CDTF">2018-02-19T14:04:00Z</dcterms:created>
  <dcterms:modified xsi:type="dcterms:W3CDTF">2018-02-22T11:58:00Z</dcterms:modified>
</cp:coreProperties>
</file>