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BEE" w:rsidRPr="00CD0B2A" w:rsidRDefault="003D1BEE" w:rsidP="00CD0B2A">
      <w:pPr>
        <w:pStyle w:val="Titel"/>
        <w:spacing w:line="360" w:lineRule="auto"/>
        <w:rPr>
          <w:rFonts w:ascii="Arial" w:hAnsi="Arial" w:cs="Arial"/>
        </w:rPr>
      </w:pPr>
      <w:r w:rsidRPr="00CD0B2A">
        <w:rPr>
          <w:rFonts w:ascii="Arial" w:hAnsi="Arial" w:cs="Arial"/>
        </w:rPr>
        <w:t>Material</w:t>
      </w:r>
    </w:p>
    <w:p w:rsidR="009A1D10" w:rsidRPr="00CD0B2A" w:rsidRDefault="00892E3A" w:rsidP="00CD0B2A">
      <w:pPr>
        <w:spacing w:line="360" w:lineRule="auto"/>
        <w:rPr>
          <w:rFonts w:ascii="Arial" w:hAnsi="Arial" w:cs="Arial"/>
          <w:b/>
        </w:rPr>
      </w:pPr>
      <w:r w:rsidRPr="00CD0B2A">
        <w:rPr>
          <w:rFonts w:ascii="Arial" w:hAnsi="Arial" w:cs="Arial"/>
          <w:b/>
        </w:rPr>
        <w:t>Art. 27 Arbeit und Beschäftigung</w:t>
      </w:r>
    </w:p>
    <w:p w:rsidR="00892E3A" w:rsidRPr="00CD0B2A" w:rsidRDefault="00892E3A" w:rsidP="00CD0B2A">
      <w:pPr>
        <w:spacing w:line="360" w:lineRule="auto"/>
        <w:rPr>
          <w:rFonts w:ascii="Arial" w:hAnsi="Arial" w:cs="Arial"/>
        </w:rPr>
      </w:pPr>
      <w:r w:rsidRPr="00CD0B2A">
        <w:rPr>
          <w:rFonts w:ascii="Arial" w:hAnsi="Arial" w:cs="Arial"/>
        </w:rPr>
        <w:t>1) Die Vertragsstaaten anerkennen das Recht von Menschen mit Behinderungen auf der Grundlage der Gleichberechtigung mit anderen auf Arbeit; dies beinhaltet das Recht auf die Möglichkeit, den Lebensunterhalt durch Arbeit zu verdienen, die in einem offenen</w:t>
      </w:r>
      <w:bookmarkStart w:id="0" w:name="_GoBack"/>
      <w:bookmarkEnd w:id="0"/>
      <w:r w:rsidRPr="00CD0B2A">
        <w:rPr>
          <w:rFonts w:ascii="Arial" w:hAnsi="Arial" w:cs="Arial"/>
        </w:rPr>
        <w:t xml:space="preserve">, inklusiven und für Menschen mit Behinderungen zugänglichen Arbeitsmarkt und Arbeitsumfeld frei gewählt oder angenommen wird. Die Vertragsstaaten sichern und fördern die Verwirklichung des Rechts auf Arbeit, einschließlich für Menschen, die während der Beschäftigung eine Behinderung erwerben, durch geeignete Schritte, einschließlich des Erlasses von Rechtsvorschriften, um unter anderem </w:t>
      </w:r>
    </w:p>
    <w:p w:rsidR="00892E3A" w:rsidRPr="00CD0B2A" w:rsidRDefault="00892E3A" w:rsidP="00CD0B2A">
      <w:pPr>
        <w:spacing w:line="360" w:lineRule="auto"/>
        <w:rPr>
          <w:rFonts w:ascii="Arial" w:hAnsi="Arial" w:cs="Arial"/>
        </w:rPr>
      </w:pPr>
      <w:r w:rsidRPr="00CD0B2A">
        <w:rPr>
          <w:rFonts w:ascii="Arial" w:hAnsi="Arial" w:cs="Arial"/>
          <w:i/>
          <w:iCs/>
        </w:rPr>
        <w:t xml:space="preserve">a) </w:t>
      </w:r>
      <w:r w:rsidRPr="00CD0B2A">
        <w:rPr>
          <w:rFonts w:ascii="Arial" w:hAnsi="Arial" w:cs="Arial"/>
        </w:rPr>
        <w:t xml:space="preserve">Diskriminierung aufgrund von Behinderung in allen Angelegenheiten im Zusammenhang mit einer Beschäftigung gleich welcher Art, einschließlich der Auswahl-, Einstellungs- und Beschäftigungsbedingungen, der Weiterbeschäftigung, des beruflichen Aufstiegs sowie sicherer und gesunder Arbeitsbedingungen, zu verbieten; </w:t>
      </w:r>
    </w:p>
    <w:p w:rsidR="00892E3A" w:rsidRPr="00CD0B2A" w:rsidRDefault="00892E3A" w:rsidP="00CD0B2A">
      <w:pPr>
        <w:spacing w:line="360" w:lineRule="auto"/>
        <w:rPr>
          <w:rFonts w:ascii="Arial" w:hAnsi="Arial" w:cs="Arial"/>
        </w:rPr>
      </w:pPr>
      <w:r w:rsidRPr="00CD0B2A">
        <w:rPr>
          <w:rFonts w:ascii="Arial" w:hAnsi="Arial" w:cs="Arial"/>
          <w:i/>
          <w:iCs/>
        </w:rPr>
        <w:t>b</w:t>
      </w:r>
      <w:r w:rsidRPr="00CD0B2A">
        <w:rPr>
          <w:rFonts w:ascii="Arial" w:hAnsi="Arial" w:cs="Arial"/>
        </w:rPr>
        <w:t xml:space="preserve">) das Recht von Menschen mit Behinderungen auf der Grundlage der Gleichberechtigung mit anderen auf gerechte und günstige Arbeitsbedingungen, einschließlich Chancengleichheit und gleichen Entgelts für gleichwertige Arbeit, auf sichere und gesunde Arbeitsbedingungen, einschließlich Schutz vor Belästigungen, und auf Abhilfe bei Missständen zu schützen; </w:t>
      </w:r>
    </w:p>
    <w:p w:rsidR="00892E3A" w:rsidRPr="00CD0B2A" w:rsidRDefault="003D1BEE" w:rsidP="00CD0B2A">
      <w:pPr>
        <w:spacing w:line="360" w:lineRule="auto"/>
        <w:rPr>
          <w:rFonts w:ascii="Arial" w:hAnsi="Arial" w:cs="Arial"/>
        </w:rPr>
      </w:pPr>
      <w:r w:rsidRPr="00CD0B2A">
        <w:rPr>
          <w:rFonts w:ascii="Arial" w:hAnsi="Arial" w:cs="Arial"/>
        </w:rPr>
        <w:t>c</w:t>
      </w:r>
      <w:r w:rsidR="00892E3A" w:rsidRPr="00CD0B2A">
        <w:rPr>
          <w:rFonts w:ascii="Arial" w:hAnsi="Arial" w:cs="Arial"/>
        </w:rPr>
        <w:t xml:space="preserve">) zu gewährleisten, dass Menschen mit Behinderungen ihre Arbeitnehmer- und Gewerkschaftsrechte gleichberechtigt mit anderen ausüben können; </w:t>
      </w:r>
    </w:p>
    <w:p w:rsidR="00892E3A" w:rsidRPr="00CD0B2A" w:rsidRDefault="00892E3A" w:rsidP="00CD0B2A">
      <w:pPr>
        <w:spacing w:line="360" w:lineRule="auto"/>
        <w:rPr>
          <w:rFonts w:ascii="Arial" w:hAnsi="Arial" w:cs="Arial"/>
        </w:rPr>
      </w:pPr>
      <w:r w:rsidRPr="00CD0B2A">
        <w:rPr>
          <w:rFonts w:ascii="Arial" w:hAnsi="Arial" w:cs="Arial"/>
          <w:i/>
          <w:iCs/>
        </w:rPr>
        <w:t>d</w:t>
      </w:r>
      <w:r w:rsidRPr="00CD0B2A">
        <w:rPr>
          <w:rFonts w:ascii="Arial" w:hAnsi="Arial" w:cs="Arial"/>
        </w:rPr>
        <w:t xml:space="preserve">) Menschen mit Behinderungen wirksamen Zugang zu allgemeinen fachlichen und beruflichen Beratungsprogrammen, Stellenvermittlung sowie Berufsausbildung und Weiterbildung zu ermöglichen; </w:t>
      </w:r>
    </w:p>
    <w:p w:rsidR="00892E3A" w:rsidRPr="00CD0B2A" w:rsidRDefault="00892E3A" w:rsidP="00CD0B2A">
      <w:pPr>
        <w:spacing w:line="360" w:lineRule="auto"/>
        <w:rPr>
          <w:rFonts w:ascii="Arial" w:hAnsi="Arial" w:cs="Arial"/>
        </w:rPr>
      </w:pPr>
      <w:r w:rsidRPr="00CD0B2A">
        <w:rPr>
          <w:rFonts w:ascii="Arial" w:hAnsi="Arial" w:cs="Arial"/>
          <w:i/>
          <w:iCs/>
        </w:rPr>
        <w:t>e</w:t>
      </w:r>
      <w:r w:rsidRPr="00CD0B2A">
        <w:rPr>
          <w:rFonts w:ascii="Arial" w:hAnsi="Arial" w:cs="Arial"/>
        </w:rPr>
        <w:t xml:space="preserve">) für Menschen mit Behinderungen Beschäftigungsmöglichkeiten und beruflichen Aufstieg auf dem Arbeitsmarkt sowie die Unterstützung bei der Arbeitssuche, beim Erhalt und der Beibehaltung eines Arbeitsplatzes und beim beruflichen Wiedereinstieg zu fördern; </w:t>
      </w:r>
    </w:p>
    <w:p w:rsidR="00892E3A" w:rsidRPr="00CD0B2A" w:rsidRDefault="00892E3A" w:rsidP="00CD0B2A">
      <w:pPr>
        <w:spacing w:line="360" w:lineRule="auto"/>
        <w:rPr>
          <w:rFonts w:ascii="Arial" w:hAnsi="Arial" w:cs="Arial"/>
        </w:rPr>
      </w:pPr>
      <w:r w:rsidRPr="00CD0B2A">
        <w:rPr>
          <w:rFonts w:ascii="Arial" w:hAnsi="Arial" w:cs="Arial"/>
          <w:i/>
          <w:iCs/>
        </w:rPr>
        <w:t>f</w:t>
      </w:r>
      <w:r w:rsidRPr="00CD0B2A">
        <w:rPr>
          <w:rFonts w:ascii="Arial" w:hAnsi="Arial" w:cs="Arial"/>
        </w:rPr>
        <w:t>) Möglichkeiten für Selbst</w:t>
      </w:r>
      <w:r w:rsidR="003D1BEE" w:rsidRPr="00CD0B2A">
        <w:rPr>
          <w:rFonts w:ascii="Arial" w:hAnsi="Arial" w:cs="Arial"/>
        </w:rPr>
        <w:t>st</w:t>
      </w:r>
      <w:r w:rsidRPr="00CD0B2A">
        <w:rPr>
          <w:rFonts w:ascii="Arial" w:hAnsi="Arial" w:cs="Arial"/>
        </w:rPr>
        <w:t xml:space="preserve">ändigkeit, Unternehmertum, die Bildung von Genossenschaften und die Gründung eines eigenen Geschäfts zu fördern; </w:t>
      </w:r>
    </w:p>
    <w:p w:rsidR="00892E3A" w:rsidRPr="00CD0B2A" w:rsidRDefault="00892E3A" w:rsidP="00CD0B2A">
      <w:pPr>
        <w:spacing w:line="360" w:lineRule="auto"/>
        <w:rPr>
          <w:rFonts w:ascii="Arial" w:hAnsi="Arial" w:cs="Arial"/>
        </w:rPr>
      </w:pPr>
      <w:r w:rsidRPr="00CD0B2A">
        <w:rPr>
          <w:rFonts w:ascii="Arial" w:hAnsi="Arial" w:cs="Arial"/>
          <w:i/>
          <w:iCs/>
        </w:rPr>
        <w:t>g</w:t>
      </w:r>
      <w:r w:rsidRPr="00CD0B2A">
        <w:rPr>
          <w:rFonts w:ascii="Arial" w:hAnsi="Arial" w:cs="Arial"/>
        </w:rPr>
        <w:t xml:space="preserve">) Menschen mit Behinderungen im öffentlichen Sektor zu beschäftigen; </w:t>
      </w:r>
    </w:p>
    <w:p w:rsidR="00892E3A" w:rsidRPr="00CD0B2A" w:rsidRDefault="00892E3A" w:rsidP="00CD0B2A">
      <w:pPr>
        <w:spacing w:line="360" w:lineRule="auto"/>
        <w:rPr>
          <w:rFonts w:ascii="Arial" w:hAnsi="Arial" w:cs="Arial"/>
        </w:rPr>
      </w:pPr>
      <w:r w:rsidRPr="00CD0B2A">
        <w:rPr>
          <w:rFonts w:ascii="Arial" w:hAnsi="Arial" w:cs="Arial"/>
          <w:i/>
          <w:iCs/>
        </w:rPr>
        <w:lastRenderedPageBreak/>
        <w:t>h</w:t>
      </w:r>
      <w:r w:rsidRPr="00CD0B2A">
        <w:rPr>
          <w:rFonts w:ascii="Arial" w:hAnsi="Arial" w:cs="Arial"/>
        </w:rPr>
        <w:t xml:space="preserve">) die Beschäftigung von Menschen mit Behinderungen im privaten Sektor durch geeignete Strategien und Maßnahmen zu fördern, wozu auch Programme für positive Maßnahmen, Anreize und andere Maßnahmen gehören können; </w:t>
      </w:r>
    </w:p>
    <w:p w:rsidR="00892E3A" w:rsidRPr="00CD0B2A" w:rsidRDefault="00892E3A" w:rsidP="00CD0B2A">
      <w:pPr>
        <w:spacing w:line="360" w:lineRule="auto"/>
        <w:rPr>
          <w:rFonts w:ascii="Arial" w:hAnsi="Arial" w:cs="Arial"/>
        </w:rPr>
      </w:pPr>
      <w:r w:rsidRPr="00CD0B2A">
        <w:rPr>
          <w:rFonts w:ascii="Arial" w:hAnsi="Arial" w:cs="Arial"/>
          <w:i/>
          <w:iCs/>
        </w:rPr>
        <w:t>i</w:t>
      </w:r>
      <w:r w:rsidRPr="00CD0B2A">
        <w:rPr>
          <w:rFonts w:ascii="Arial" w:hAnsi="Arial" w:cs="Arial"/>
        </w:rPr>
        <w:t xml:space="preserve">) sicherzustellen, dass am Arbeitsplatz angemessene Vorkehrungen für Menschen mit Behinderungen getroffen werden; </w:t>
      </w:r>
    </w:p>
    <w:p w:rsidR="00892E3A" w:rsidRPr="00CD0B2A" w:rsidRDefault="00892E3A" w:rsidP="00CD0B2A">
      <w:pPr>
        <w:spacing w:line="360" w:lineRule="auto"/>
        <w:rPr>
          <w:rFonts w:ascii="Arial" w:hAnsi="Arial" w:cs="Arial"/>
        </w:rPr>
      </w:pPr>
      <w:r w:rsidRPr="00CD0B2A">
        <w:rPr>
          <w:rFonts w:ascii="Arial" w:hAnsi="Arial" w:cs="Arial"/>
          <w:i/>
          <w:iCs/>
        </w:rPr>
        <w:t>j</w:t>
      </w:r>
      <w:r w:rsidRPr="00CD0B2A">
        <w:rPr>
          <w:rFonts w:ascii="Arial" w:hAnsi="Arial" w:cs="Arial"/>
        </w:rPr>
        <w:t xml:space="preserve">) das Sammeln von Arbeitserfahrung auf dem allgemeinen Arbeitsmarkt durch Menschen mit Behinderungen zu fördern; </w:t>
      </w:r>
    </w:p>
    <w:p w:rsidR="00892E3A" w:rsidRPr="00CD0B2A" w:rsidRDefault="00892E3A" w:rsidP="00CD0B2A">
      <w:pPr>
        <w:spacing w:line="360" w:lineRule="auto"/>
        <w:rPr>
          <w:rFonts w:ascii="Arial" w:hAnsi="Arial" w:cs="Arial"/>
        </w:rPr>
      </w:pPr>
      <w:r w:rsidRPr="00CD0B2A">
        <w:rPr>
          <w:rFonts w:ascii="Arial" w:hAnsi="Arial" w:cs="Arial"/>
          <w:i/>
          <w:iCs/>
        </w:rPr>
        <w:t>k</w:t>
      </w:r>
      <w:r w:rsidRPr="00CD0B2A">
        <w:rPr>
          <w:rFonts w:ascii="Arial" w:hAnsi="Arial" w:cs="Arial"/>
        </w:rPr>
        <w:t xml:space="preserve">) Programme für die berufliche und fachliche Rehabilitation, den Erhalt des Arbeitsplatzes und den beruflichen Wiedereinstieg von Menschen mit Behinderungen zu fördern. </w:t>
      </w:r>
    </w:p>
    <w:p w:rsidR="00892E3A" w:rsidRPr="00CD0B2A" w:rsidRDefault="00892E3A" w:rsidP="00CD0B2A">
      <w:pPr>
        <w:spacing w:line="360" w:lineRule="auto"/>
        <w:rPr>
          <w:rFonts w:ascii="Arial" w:hAnsi="Arial" w:cs="Arial"/>
        </w:rPr>
      </w:pPr>
      <w:r w:rsidRPr="00CD0B2A">
        <w:rPr>
          <w:rFonts w:ascii="Arial" w:hAnsi="Arial" w:cs="Arial"/>
        </w:rPr>
        <w:t xml:space="preserve">(2) Die Vertragsstaaten stellen sicher, dass Menschen mit Behinderungen nicht in Sklaverei oder Leibeigenschaft gehalten werden und dass sie gleichberechtigt mit anderen vor Zwangs- oder Pflichtarbeit geschützt werden. </w:t>
      </w:r>
    </w:p>
    <w:p w:rsidR="00964F62" w:rsidRPr="00CD0B2A" w:rsidRDefault="2D88603E" w:rsidP="00CD0B2A">
      <w:pPr>
        <w:spacing w:line="360" w:lineRule="auto"/>
        <w:rPr>
          <w:rFonts w:ascii="Arial" w:hAnsi="Arial" w:cs="Arial"/>
          <w:b/>
        </w:rPr>
      </w:pPr>
      <w:r w:rsidRPr="00CD0B2A">
        <w:rPr>
          <w:rFonts w:ascii="Arial" w:hAnsi="Arial" w:cs="Arial"/>
          <w:b/>
          <w:bCs/>
        </w:rPr>
        <w:t>Der BRK-Ausschuss zu Art. 27</w:t>
      </w:r>
      <w:r w:rsidR="00964F62" w:rsidRPr="00CD0B2A">
        <w:rPr>
          <w:rFonts w:ascii="Arial" w:hAnsi="Arial" w:cs="Arial"/>
          <w:b/>
          <w:bCs/>
        </w:rPr>
        <w:t xml:space="preserve">: </w:t>
      </w:r>
      <w:r w:rsidR="00964F62" w:rsidRPr="00CD0B2A">
        <w:rPr>
          <w:rFonts w:ascii="Arial" w:hAnsi="Arial" w:cs="Arial"/>
          <w:b/>
        </w:rPr>
        <w:t>Abschließende Bemerkungen über den ersten Staatenbericht Deutschlands</w:t>
      </w:r>
    </w:p>
    <w:p w:rsidR="00EF72C1" w:rsidRPr="00CD0B2A" w:rsidRDefault="00964F62" w:rsidP="00CD0B2A">
      <w:pPr>
        <w:spacing w:line="360" w:lineRule="auto"/>
        <w:rPr>
          <w:rFonts w:ascii="Arial" w:hAnsi="Arial" w:cs="Arial"/>
        </w:rPr>
      </w:pPr>
      <w:r w:rsidRPr="00CD0B2A">
        <w:rPr>
          <w:rFonts w:ascii="Arial" w:hAnsi="Arial" w:cs="Arial"/>
        </w:rPr>
        <w:t xml:space="preserve">49. Der Ausschuss ist besorgt über </w:t>
      </w:r>
      <w:r w:rsidR="00F263B6" w:rsidRPr="00CD0B2A">
        <w:rPr>
          <w:rFonts w:ascii="Arial" w:hAnsi="Arial" w:cs="Arial"/>
        </w:rPr>
        <w:t>Segregation auf dem Arbeitsmarkt des Vertragsstaates;</w:t>
      </w:r>
      <w:r w:rsidRPr="00CD0B2A">
        <w:rPr>
          <w:rFonts w:ascii="Arial" w:hAnsi="Arial" w:cs="Arial"/>
        </w:rPr>
        <w:t xml:space="preserve"> </w:t>
      </w:r>
      <w:r w:rsidR="00F263B6" w:rsidRPr="00CD0B2A">
        <w:rPr>
          <w:rFonts w:ascii="Arial" w:hAnsi="Arial" w:cs="Arial"/>
        </w:rPr>
        <w:t>Finanzielle Fehlanreize, die Menschen mit Behinderungen am Eintritt oder Übergang in den allgemeinen Arbeitsmarkt hindern;</w:t>
      </w:r>
      <w:r w:rsidRPr="00CD0B2A">
        <w:rPr>
          <w:rFonts w:ascii="Arial" w:hAnsi="Arial" w:cs="Arial"/>
        </w:rPr>
        <w:t xml:space="preserve"> </w:t>
      </w:r>
      <w:r w:rsidR="00F263B6" w:rsidRPr="00CD0B2A">
        <w:rPr>
          <w:rFonts w:ascii="Arial" w:hAnsi="Arial" w:cs="Arial"/>
        </w:rPr>
        <w:t>den Umstand, dass segregierte Behindertenwerkstätten weder auf den Übergang zum allgemeinen Arbeitsmarkt vorbereiten noch diesen Übergang fördern.</w:t>
      </w:r>
    </w:p>
    <w:p w:rsidR="00964F62" w:rsidRPr="00CD0B2A" w:rsidRDefault="00964F62" w:rsidP="00CD0B2A">
      <w:pPr>
        <w:spacing w:line="360" w:lineRule="auto"/>
        <w:rPr>
          <w:rFonts w:ascii="Arial" w:hAnsi="Arial" w:cs="Arial"/>
        </w:rPr>
      </w:pPr>
      <w:r w:rsidRPr="00CD0B2A">
        <w:rPr>
          <w:rFonts w:ascii="Arial" w:hAnsi="Arial" w:cs="Arial"/>
        </w:rPr>
        <w:t xml:space="preserve">50. Der Ausschuss empfiehlt dem Vertragsstaat, durch entsprechende Vorschriften wirksam einen inklusiven, mit dem Übereinkommen in Einklang stehenden Arbeitsmarkt zu schaffen, durch </w:t>
      </w:r>
    </w:p>
    <w:p w:rsidR="00EF72C1" w:rsidRPr="00CD0B2A" w:rsidRDefault="00964F62" w:rsidP="00CD0B2A">
      <w:pPr>
        <w:spacing w:line="360" w:lineRule="auto"/>
        <w:rPr>
          <w:rFonts w:ascii="Arial" w:hAnsi="Arial" w:cs="Arial"/>
        </w:rPr>
      </w:pPr>
      <w:r w:rsidRPr="00CD0B2A">
        <w:rPr>
          <w:rFonts w:ascii="Arial" w:hAnsi="Arial" w:cs="Arial"/>
        </w:rPr>
        <w:t xml:space="preserve">a) </w:t>
      </w:r>
      <w:r w:rsidR="00F263B6" w:rsidRPr="00CD0B2A">
        <w:rPr>
          <w:rFonts w:ascii="Arial" w:hAnsi="Arial" w:cs="Arial"/>
        </w:rPr>
        <w:t>die Schaffung von Beschäftigungsmöglichkeiten an zugänglichen Arbeitsplätzen gemäß der Allgemeinen Bemerkung Nr. 2 (2014) des Ausschusses, insbesondere für Frauen mit Behinderungen;</w:t>
      </w:r>
    </w:p>
    <w:p w:rsidR="00964F62" w:rsidRPr="00CD0B2A" w:rsidRDefault="00964F62" w:rsidP="00CD0B2A">
      <w:pPr>
        <w:spacing w:line="360" w:lineRule="auto"/>
        <w:rPr>
          <w:rFonts w:ascii="Arial" w:hAnsi="Arial" w:cs="Arial"/>
        </w:rPr>
      </w:pPr>
      <w:r w:rsidRPr="00CD0B2A">
        <w:rPr>
          <w:rFonts w:ascii="Arial" w:hAnsi="Arial" w:cs="Arial"/>
        </w:rPr>
        <w:t>b) die schrittweise Abschaffung der Behindertenwerkstätten durch sofort durchsetzbare Ausstiegsstrategien und Zeitpläne sowie durch Anreize für die Beschäftigung bei öffentlichen und privaten Arbeitgebern im allgemeinen Arbeitsmarkt;</w:t>
      </w:r>
    </w:p>
    <w:p w:rsidR="00964F62" w:rsidRPr="00CD0B2A" w:rsidRDefault="00964F62" w:rsidP="00CD0B2A">
      <w:pPr>
        <w:spacing w:line="360" w:lineRule="auto"/>
        <w:rPr>
          <w:rFonts w:ascii="Arial" w:hAnsi="Arial" w:cs="Arial"/>
        </w:rPr>
      </w:pPr>
      <w:r w:rsidRPr="00CD0B2A">
        <w:rPr>
          <w:rFonts w:ascii="Arial" w:hAnsi="Arial" w:cs="Arial"/>
        </w:rPr>
        <w:t>c) Die Sicherstellung, dass Menschen mit Behinderungen keine Minderung ihrer Sozial- und Altersversicherung erfahren, die gegenwärtig an die Behindertenwerkstätten gebunden ist;</w:t>
      </w:r>
    </w:p>
    <w:p w:rsidR="00964F62" w:rsidRPr="00CD0B2A" w:rsidRDefault="00964F62" w:rsidP="00CD0B2A">
      <w:pPr>
        <w:spacing w:line="360" w:lineRule="auto"/>
        <w:rPr>
          <w:rFonts w:ascii="Arial" w:hAnsi="Arial" w:cs="Arial"/>
        </w:rPr>
      </w:pPr>
      <w:r w:rsidRPr="00CD0B2A">
        <w:rPr>
          <w:rFonts w:ascii="Arial" w:hAnsi="Arial" w:cs="Arial"/>
        </w:rPr>
        <w:lastRenderedPageBreak/>
        <w:t xml:space="preserve">d) Die Sammlung von Daten über die Zugänglichkeit von Arbeitsplätzen auf dem allgemeinen Arbeitsmarkt. </w:t>
      </w:r>
    </w:p>
    <w:p w:rsidR="00964F62" w:rsidRPr="00CD0B2A" w:rsidRDefault="00964F62" w:rsidP="00CD0B2A">
      <w:pPr>
        <w:spacing w:line="360" w:lineRule="auto"/>
        <w:rPr>
          <w:rFonts w:ascii="Arial" w:hAnsi="Arial" w:cs="Arial"/>
          <w:i/>
        </w:rPr>
      </w:pPr>
      <w:r w:rsidRPr="00CD0B2A">
        <w:rPr>
          <w:rFonts w:ascii="Arial" w:hAnsi="Arial" w:cs="Arial"/>
          <w:i/>
        </w:rPr>
        <w:t>Quelle: Ausschuss für die Rechte von Menschen mit Behinderungen (2015): Abschließende Bemerkungen über den ersten Staatenbericht Deutschlands, CRPD/C/DEU/CO/1, 17. April 2015; Deutsche Übersetzung der Monitoring-Stelle zur UN-BRK</w:t>
      </w:r>
    </w:p>
    <w:p w:rsidR="00892E3A" w:rsidRPr="00CD0B2A" w:rsidRDefault="00892E3A" w:rsidP="00CD0B2A">
      <w:pPr>
        <w:spacing w:line="360" w:lineRule="auto"/>
        <w:rPr>
          <w:rFonts w:ascii="Arial" w:hAnsi="Arial" w:cs="Arial"/>
        </w:rPr>
      </w:pPr>
    </w:p>
    <w:p w:rsidR="009901CF" w:rsidRPr="00CD0B2A" w:rsidRDefault="009901CF" w:rsidP="00CD0B2A">
      <w:pPr>
        <w:spacing w:line="360" w:lineRule="auto"/>
        <w:rPr>
          <w:rFonts w:ascii="Arial" w:eastAsiaTheme="majorEastAsia" w:hAnsi="Arial" w:cs="Arial"/>
          <w:color w:val="17365D" w:themeColor="text2" w:themeShade="BF"/>
          <w:spacing w:val="5"/>
          <w:kern w:val="28"/>
          <w:sz w:val="52"/>
          <w:szCs w:val="52"/>
        </w:rPr>
      </w:pPr>
      <w:r w:rsidRPr="00CD0B2A">
        <w:rPr>
          <w:rFonts w:ascii="Arial" w:hAnsi="Arial" w:cs="Arial"/>
        </w:rPr>
        <w:br w:type="page"/>
      </w:r>
    </w:p>
    <w:p w:rsidR="003D1BEE" w:rsidRPr="00CD0B2A" w:rsidRDefault="003D1BEE" w:rsidP="00CD0B2A">
      <w:pPr>
        <w:pStyle w:val="Titel"/>
        <w:spacing w:line="360" w:lineRule="auto"/>
        <w:rPr>
          <w:rFonts w:ascii="Arial" w:hAnsi="Arial" w:cs="Arial"/>
        </w:rPr>
      </w:pPr>
      <w:r w:rsidRPr="00CD0B2A">
        <w:rPr>
          <w:rFonts w:ascii="Arial" w:hAnsi="Arial" w:cs="Arial"/>
        </w:rPr>
        <w:lastRenderedPageBreak/>
        <w:t>Fragen an die Gruppe</w:t>
      </w:r>
    </w:p>
    <w:p w:rsidR="00935C28" w:rsidRPr="00CD0B2A" w:rsidRDefault="2D88603E" w:rsidP="00CD0B2A">
      <w:pPr>
        <w:numPr>
          <w:ilvl w:val="0"/>
          <w:numId w:val="1"/>
        </w:numPr>
        <w:spacing w:line="360" w:lineRule="auto"/>
        <w:rPr>
          <w:rFonts w:ascii="Arial" w:hAnsi="Arial" w:cs="Arial"/>
        </w:rPr>
      </w:pPr>
      <w:r w:rsidRPr="00CD0B2A">
        <w:rPr>
          <w:rFonts w:ascii="Arial" w:hAnsi="Arial" w:cs="Arial"/>
        </w:rPr>
        <w:t xml:space="preserve">Gilt Art. 27 auch für Menschen mit </w:t>
      </w:r>
      <w:r w:rsidR="00964F62" w:rsidRPr="00CD0B2A">
        <w:rPr>
          <w:rFonts w:ascii="Arial" w:hAnsi="Arial" w:cs="Arial"/>
        </w:rPr>
        <w:t>Lernschwierigkeiten</w:t>
      </w:r>
      <w:r w:rsidRPr="00CD0B2A">
        <w:rPr>
          <w:rFonts w:ascii="Arial" w:hAnsi="Arial" w:cs="Arial"/>
        </w:rPr>
        <w:t>?</w:t>
      </w:r>
    </w:p>
    <w:p w:rsidR="00935C28" w:rsidRPr="00CD0B2A" w:rsidRDefault="003E5259" w:rsidP="00CD0B2A">
      <w:pPr>
        <w:numPr>
          <w:ilvl w:val="0"/>
          <w:numId w:val="1"/>
        </w:numPr>
        <w:spacing w:line="360" w:lineRule="auto"/>
        <w:rPr>
          <w:rFonts w:ascii="Arial" w:hAnsi="Arial" w:cs="Arial"/>
        </w:rPr>
      </w:pPr>
      <w:r w:rsidRPr="00CD0B2A">
        <w:rPr>
          <w:rFonts w:ascii="Arial" w:hAnsi="Arial" w:cs="Arial"/>
        </w:rPr>
        <w:t xml:space="preserve"> Welche Anforderungen aus Art. 27 BRK lassen sich in einer Werkstatt für Menschen mit Behinderungen nicht erfüllen?</w:t>
      </w:r>
    </w:p>
    <w:p w:rsidR="00935C28" w:rsidRPr="00CD0B2A" w:rsidRDefault="003E5259" w:rsidP="00CD0B2A">
      <w:pPr>
        <w:numPr>
          <w:ilvl w:val="0"/>
          <w:numId w:val="1"/>
        </w:numPr>
        <w:spacing w:line="360" w:lineRule="auto"/>
        <w:rPr>
          <w:rFonts w:ascii="Arial" w:hAnsi="Arial" w:cs="Arial"/>
        </w:rPr>
      </w:pPr>
      <w:r w:rsidRPr="00CD0B2A">
        <w:rPr>
          <w:rFonts w:ascii="Arial" w:hAnsi="Arial" w:cs="Arial"/>
        </w:rPr>
        <w:t>Sind Werkstätten für Menschen mit Behinderung mit Art. 27 BRK vereinbar?</w:t>
      </w:r>
    </w:p>
    <w:p w:rsidR="003D1BEE" w:rsidRPr="00CD0B2A" w:rsidRDefault="003D1BEE" w:rsidP="00CD0B2A">
      <w:pPr>
        <w:spacing w:after="0" w:line="360" w:lineRule="auto"/>
        <w:rPr>
          <w:rFonts w:ascii="Arial" w:hAnsi="Arial" w:cs="Arial"/>
          <w:b/>
        </w:rPr>
      </w:pPr>
    </w:p>
    <w:p w:rsidR="00892E3A" w:rsidRPr="00CD0B2A" w:rsidRDefault="00892E3A" w:rsidP="00CD0B2A">
      <w:pPr>
        <w:spacing w:after="0" w:line="360" w:lineRule="auto"/>
        <w:rPr>
          <w:rFonts w:ascii="Arial" w:hAnsi="Arial" w:cs="Arial"/>
          <w:b/>
        </w:rPr>
      </w:pPr>
      <w:r w:rsidRPr="00CD0B2A">
        <w:rPr>
          <w:rFonts w:ascii="Arial" w:hAnsi="Arial" w:cs="Arial"/>
          <w:b/>
        </w:rPr>
        <w:t xml:space="preserve">Hinweis: </w:t>
      </w:r>
    </w:p>
    <w:p w:rsidR="00892E3A" w:rsidRPr="00CD0B2A" w:rsidRDefault="00892E3A" w:rsidP="00CD0B2A">
      <w:pPr>
        <w:spacing w:after="0" w:line="360" w:lineRule="auto"/>
        <w:rPr>
          <w:rFonts w:ascii="Arial" w:hAnsi="Arial" w:cs="Arial"/>
        </w:rPr>
      </w:pPr>
      <w:r w:rsidRPr="00CD0B2A">
        <w:rPr>
          <w:rFonts w:ascii="Arial" w:hAnsi="Arial" w:cs="Arial"/>
        </w:rPr>
        <w:t>Werkstätten für behinderte Menschen (sheltered workshops) wurden in den Verhandlungen zur BRK bewusst nicht aufgenommen, weil sie keine Legitimation erhalten sollten. Der Geist der Konvention spricht gegen jegliche Sonderwelten für Behinderte und damit auch gegen WfBs.</w:t>
      </w:r>
    </w:p>
    <w:p w:rsidR="00892E3A" w:rsidRPr="00CD0B2A" w:rsidRDefault="00892E3A" w:rsidP="00CD0B2A">
      <w:pPr>
        <w:spacing w:line="360" w:lineRule="auto"/>
        <w:rPr>
          <w:rFonts w:ascii="Arial" w:hAnsi="Arial" w:cs="Arial"/>
        </w:rPr>
      </w:pPr>
    </w:p>
    <w:p w:rsidR="00892E3A" w:rsidRPr="00CD0B2A" w:rsidRDefault="00892E3A" w:rsidP="00CD0B2A">
      <w:pPr>
        <w:spacing w:line="360" w:lineRule="auto"/>
        <w:rPr>
          <w:rFonts w:ascii="Arial" w:hAnsi="Arial" w:cs="Arial"/>
        </w:rPr>
      </w:pPr>
    </w:p>
    <w:sectPr w:rsidR="00892E3A" w:rsidRPr="00CD0B2A" w:rsidSect="009A1D10">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6EDD" w:rsidRDefault="008D6EDD" w:rsidP="003D1BEE">
      <w:pPr>
        <w:spacing w:after="0" w:line="240" w:lineRule="auto"/>
      </w:pPr>
      <w:r>
        <w:separator/>
      </w:r>
    </w:p>
  </w:endnote>
  <w:endnote w:type="continuationSeparator" w:id="0">
    <w:p w:rsidR="008D6EDD" w:rsidRDefault="008D6EDD" w:rsidP="003D1B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5C47" w:rsidRDefault="003A5C47" w:rsidP="003A5C47">
    <w:pPr>
      <w:pStyle w:val="Fuzeile"/>
      <w:ind w:right="360"/>
    </w:pPr>
    <w:r>
      <w:rPr>
        <w:noProof/>
        <w:lang w:eastAsia="de-DE"/>
      </w:rPr>
      <w:drawing>
        <wp:inline distT="0" distB="0" distL="0" distR="0">
          <wp:extent cx="2710502" cy="429940"/>
          <wp:effectExtent l="19050" t="0" r="0" b="0"/>
          <wp:docPr id="3" name="Grafik 2" descr="Förderlogo ESF und MAGS N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mplett neu farbig IKSL.jpg"/>
                  <pic:cNvPicPr/>
                </pic:nvPicPr>
                <pic:blipFill>
                  <a:blip r:embed="rId1"/>
                  <a:stretch>
                    <a:fillRect/>
                  </a:stretch>
                </pic:blipFill>
                <pic:spPr>
                  <a:xfrm>
                    <a:off x="0" y="0"/>
                    <a:ext cx="2716832" cy="430944"/>
                  </a:xfrm>
                  <a:prstGeom prst="rect">
                    <a:avLst/>
                  </a:prstGeom>
                </pic:spPr>
              </pic:pic>
            </a:graphicData>
          </a:graphic>
        </wp:inline>
      </w:drawing>
    </w:r>
    <w:r>
      <w:t xml:space="preserve"> </w:t>
    </w:r>
    <w:r>
      <w:rPr>
        <w:noProof/>
        <w:lang w:eastAsia="de-DE"/>
      </w:rPr>
      <w:drawing>
        <wp:inline distT="0" distB="0" distL="0" distR="0">
          <wp:extent cx="2069057" cy="349019"/>
          <wp:effectExtent l="19050" t="0" r="7393" b="0"/>
          <wp:docPr id="4" name="Bild 1" descr="Logo EvH RWL und BOD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ziska Witzmann\Dropbox\AKTIF\BODYS\Logo Evh und Bodys\EVH_Bodys_Logo.png"/>
                  <pic:cNvPicPr>
                    <a:picLocks noChangeAspect="1" noChangeArrowheads="1"/>
                  </pic:cNvPicPr>
                </pic:nvPicPr>
                <pic:blipFill>
                  <a:blip r:embed="rId2"/>
                  <a:srcRect/>
                  <a:stretch>
                    <a:fillRect/>
                  </a:stretch>
                </pic:blipFill>
                <pic:spPr bwMode="auto">
                  <a:xfrm>
                    <a:off x="0" y="0"/>
                    <a:ext cx="2090527" cy="352641"/>
                  </a:xfrm>
                  <a:prstGeom prst="rect">
                    <a:avLst/>
                  </a:prstGeom>
                  <a:noFill/>
                  <a:ln w="9525">
                    <a:noFill/>
                    <a:miter lim="800000"/>
                    <a:headEnd/>
                    <a:tailEnd/>
                  </a:ln>
                </pic:spPr>
              </pic:pic>
            </a:graphicData>
          </a:graphic>
        </wp:inline>
      </w:drawing>
    </w:r>
    <w:r>
      <w:tab/>
    </w:r>
    <w:fldSimple w:instr=" PAGE   \* MERGEFORMAT ">
      <w:r>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6EDD" w:rsidRDefault="008D6EDD" w:rsidP="003D1BEE">
      <w:pPr>
        <w:spacing w:after="0" w:line="240" w:lineRule="auto"/>
      </w:pPr>
      <w:r>
        <w:separator/>
      </w:r>
    </w:p>
  </w:footnote>
  <w:footnote w:type="continuationSeparator" w:id="0">
    <w:p w:rsidR="008D6EDD" w:rsidRDefault="008D6EDD" w:rsidP="003D1B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1BEE" w:rsidRDefault="003D1BEE" w:rsidP="003D1BEE">
    <w:pPr>
      <w:pStyle w:val="Kopfzeile"/>
    </w:pPr>
    <w:r>
      <w:t>Arbeitsblatt Gruppe 3 zu Artikel 27 BRK</w:t>
    </w:r>
  </w:p>
  <w:p w:rsidR="003D1BEE" w:rsidRDefault="003D1BEE">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B1244C"/>
    <w:multiLevelType w:val="hybridMultilevel"/>
    <w:tmpl w:val="7CCCFF8E"/>
    <w:lvl w:ilvl="0" w:tplc="8D7C3B42">
      <w:start w:val="1"/>
      <w:numFmt w:val="lowerLetter"/>
      <w:lvlText w:val="%1)"/>
      <w:lvlJc w:val="left"/>
      <w:pPr>
        <w:tabs>
          <w:tab w:val="num" w:pos="720"/>
        </w:tabs>
        <w:ind w:left="720" w:hanging="360"/>
      </w:pPr>
    </w:lvl>
    <w:lvl w:ilvl="1" w:tplc="BBE84CFE" w:tentative="1">
      <w:start w:val="1"/>
      <w:numFmt w:val="lowerLetter"/>
      <w:lvlText w:val="%2)"/>
      <w:lvlJc w:val="left"/>
      <w:pPr>
        <w:tabs>
          <w:tab w:val="num" w:pos="1440"/>
        </w:tabs>
        <w:ind w:left="1440" w:hanging="360"/>
      </w:pPr>
    </w:lvl>
    <w:lvl w:ilvl="2" w:tplc="15E43C84" w:tentative="1">
      <w:start w:val="1"/>
      <w:numFmt w:val="lowerLetter"/>
      <w:lvlText w:val="%3)"/>
      <w:lvlJc w:val="left"/>
      <w:pPr>
        <w:tabs>
          <w:tab w:val="num" w:pos="2160"/>
        </w:tabs>
        <w:ind w:left="2160" w:hanging="360"/>
      </w:pPr>
    </w:lvl>
    <w:lvl w:ilvl="3" w:tplc="ED183B1C" w:tentative="1">
      <w:start w:val="1"/>
      <w:numFmt w:val="lowerLetter"/>
      <w:lvlText w:val="%4)"/>
      <w:lvlJc w:val="left"/>
      <w:pPr>
        <w:tabs>
          <w:tab w:val="num" w:pos="2880"/>
        </w:tabs>
        <w:ind w:left="2880" w:hanging="360"/>
      </w:pPr>
    </w:lvl>
    <w:lvl w:ilvl="4" w:tplc="12BE6E00" w:tentative="1">
      <w:start w:val="1"/>
      <w:numFmt w:val="lowerLetter"/>
      <w:lvlText w:val="%5)"/>
      <w:lvlJc w:val="left"/>
      <w:pPr>
        <w:tabs>
          <w:tab w:val="num" w:pos="3600"/>
        </w:tabs>
        <w:ind w:left="3600" w:hanging="360"/>
      </w:pPr>
    </w:lvl>
    <w:lvl w:ilvl="5" w:tplc="70EA3C6C" w:tentative="1">
      <w:start w:val="1"/>
      <w:numFmt w:val="lowerLetter"/>
      <w:lvlText w:val="%6)"/>
      <w:lvlJc w:val="left"/>
      <w:pPr>
        <w:tabs>
          <w:tab w:val="num" w:pos="4320"/>
        </w:tabs>
        <w:ind w:left="4320" w:hanging="360"/>
      </w:pPr>
    </w:lvl>
    <w:lvl w:ilvl="6" w:tplc="7D0A6BC8" w:tentative="1">
      <w:start w:val="1"/>
      <w:numFmt w:val="lowerLetter"/>
      <w:lvlText w:val="%7)"/>
      <w:lvlJc w:val="left"/>
      <w:pPr>
        <w:tabs>
          <w:tab w:val="num" w:pos="5040"/>
        </w:tabs>
        <w:ind w:left="5040" w:hanging="360"/>
      </w:pPr>
    </w:lvl>
    <w:lvl w:ilvl="7" w:tplc="6C80CDEA" w:tentative="1">
      <w:start w:val="1"/>
      <w:numFmt w:val="lowerLetter"/>
      <w:lvlText w:val="%8)"/>
      <w:lvlJc w:val="left"/>
      <w:pPr>
        <w:tabs>
          <w:tab w:val="num" w:pos="5760"/>
        </w:tabs>
        <w:ind w:left="5760" w:hanging="360"/>
      </w:pPr>
    </w:lvl>
    <w:lvl w:ilvl="8" w:tplc="2F36AACC" w:tentative="1">
      <w:start w:val="1"/>
      <w:numFmt w:val="lowerLetter"/>
      <w:lvlText w:val="%9)"/>
      <w:lvlJc w:val="left"/>
      <w:pPr>
        <w:tabs>
          <w:tab w:val="num" w:pos="6480"/>
        </w:tabs>
        <w:ind w:left="6480" w:hanging="360"/>
      </w:pPr>
    </w:lvl>
  </w:abstractNum>
  <w:abstractNum w:abstractNumId="1">
    <w:nsid w:val="4F525278"/>
    <w:multiLevelType w:val="hybridMultilevel"/>
    <w:tmpl w:val="036CA57C"/>
    <w:lvl w:ilvl="0" w:tplc="135C09B6">
      <w:start w:val="1"/>
      <w:numFmt w:val="lowerLetter"/>
      <w:lvlText w:val="%1)"/>
      <w:lvlJc w:val="left"/>
      <w:pPr>
        <w:tabs>
          <w:tab w:val="num" w:pos="720"/>
        </w:tabs>
        <w:ind w:left="720" w:hanging="360"/>
      </w:pPr>
    </w:lvl>
    <w:lvl w:ilvl="1" w:tplc="DE04C890" w:tentative="1">
      <w:start w:val="1"/>
      <w:numFmt w:val="lowerLetter"/>
      <w:lvlText w:val="%2)"/>
      <w:lvlJc w:val="left"/>
      <w:pPr>
        <w:tabs>
          <w:tab w:val="num" w:pos="1440"/>
        </w:tabs>
        <w:ind w:left="1440" w:hanging="360"/>
      </w:pPr>
    </w:lvl>
    <w:lvl w:ilvl="2" w:tplc="DA1C0052" w:tentative="1">
      <w:start w:val="1"/>
      <w:numFmt w:val="lowerLetter"/>
      <w:lvlText w:val="%3)"/>
      <w:lvlJc w:val="left"/>
      <w:pPr>
        <w:tabs>
          <w:tab w:val="num" w:pos="2160"/>
        </w:tabs>
        <w:ind w:left="2160" w:hanging="360"/>
      </w:pPr>
    </w:lvl>
    <w:lvl w:ilvl="3" w:tplc="A0FC5672" w:tentative="1">
      <w:start w:val="1"/>
      <w:numFmt w:val="lowerLetter"/>
      <w:lvlText w:val="%4)"/>
      <w:lvlJc w:val="left"/>
      <w:pPr>
        <w:tabs>
          <w:tab w:val="num" w:pos="2880"/>
        </w:tabs>
        <w:ind w:left="2880" w:hanging="360"/>
      </w:pPr>
    </w:lvl>
    <w:lvl w:ilvl="4" w:tplc="D0C80B1E" w:tentative="1">
      <w:start w:val="1"/>
      <w:numFmt w:val="lowerLetter"/>
      <w:lvlText w:val="%5)"/>
      <w:lvlJc w:val="left"/>
      <w:pPr>
        <w:tabs>
          <w:tab w:val="num" w:pos="3600"/>
        </w:tabs>
        <w:ind w:left="3600" w:hanging="360"/>
      </w:pPr>
    </w:lvl>
    <w:lvl w:ilvl="5" w:tplc="BCE2A5FE" w:tentative="1">
      <w:start w:val="1"/>
      <w:numFmt w:val="lowerLetter"/>
      <w:lvlText w:val="%6)"/>
      <w:lvlJc w:val="left"/>
      <w:pPr>
        <w:tabs>
          <w:tab w:val="num" w:pos="4320"/>
        </w:tabs>
        <w:ind w:left="4320" w:hanging="360"/>
      </w:pPr>
    </w:lvl>
    <w:lvl w:ilvl="6" w:tplc="8AB47B76" w:tentative="1">
      <w:start w:val="1"/>
      <w:numFmt w:val="lowerLetter"/>
      <w:lvlText w:val="%7)"/>
      <w:lvlJc w:val="left"/>
      <w:pPr>
        <w:tabs>
          <w:tab w:val="num" w:pos="5040"/>
        </w:tabs>
        <w:ind w:left="5040" w:hanging="360"/>
      </w:pPr>
    </w:lvl>
    <w:lvl w:ilvl="7" w:tplc="03682A8C" w:tentative="1">
      <w:start w:val="1"/>
      <w:numFmt w:val="lowerLetter"/>
      <w:lvlText w:val="%8)"/>
      <w:lvlJc w:val="left"/>
      <w:pPr>
        <w:tabs>
          <w:tab w:val="num" w:pos="5760"/>
        </w:tabs>
        <w:ind w:left="5760" w:hanging="360"/>
      </w:pPr>
    </w:lvl>
    <w:lvl w:ilvl="8" w:tplc="91EA3FCA" w:tentative="1">
      <w:start w:val="1"/>
      <w:numFmt w:val="lowerLetter"/>
      <w:lvlText w:val="%9)"/>
      <w:lvlJc w:val="left"/>
      <w:pPr>
        <w:tabs>
          <w:tab w:val="num" w:pos="6480"/>
        </w:tabs>
        <w:ind w:left="6480" w:hanging="360"/>
      </w:pPr>
    </w:lvl>
  </w:abstractNum>
  <w:abstractNum w:abstractNumId="2">
    <w:nsid w:val="5C526E0D"/>
    <w:multiLevelType w:val="hybridMultilevel"/>
    <w:tmpl w:val="8592D44C"/>
    <w:lvl w:ilvl="0" w:tplc="E2B86016">
      <w:start w:val="1"/>
      <w:numFmt w:val="decimal"/>
      <w:lvlText w:val="%1."/>
      <w:lvlJc w:val="left"/>
      <w:pPr>
        <w:tabs>
          <w:tab w:val="num" w:pos="720"/>
        </w:tabs>
        <w:ind w:left="720" w:hanging="360"/>
      </w:pPr>
    </w:lvl>
    <w:lvl w:ilvl="1" w:tplc="AB706838" w:tentative="1">
      <w:start w:val="1"/>
      <w:numFmt w:val="decimal"/>
      <w:lvlText w:val="%2."/>
      <w:lvlJc w:val="left"/>
      <w:pPr>
        <w:tabs>
          <w:tab w:val="num" w:pos="1440"/>
        </w:tabs>
        <w:ind w:left="1440" w:hanging="360"/>
      </w:pPr>
    </w:lvl>
    <w:lvl w:ilvl="2" w:tplc="9F643386" w:tentative="1">
      <w:start w:val="1"/>
      <w:numFmt w:val="decimal"/>
      <w:lvlText w:val="%3."/>
      <w:lvlJc w:val="left"/>
      <w:pPr>
        <w:tabs>
          <w:tab w:val="num" w:pos="2160"/>
        </w:tabs>
        <w:ind w:left="2160" w:hanging="360"/>
      </w:pPr>
    </w:lvl>
    <w:lvl w:ilvl="3" w:tplc="1CB23C2A" w:tentative="1">
      <w:start w:val="1"/>
      <w:numFmt w:val="decimal"/>
      <w:lvlText w:val="%4."/>
      <w:lvlJc w:val="left"/>
      <w:pPr>
        <w:tabs>
          <w:tab w:val="num" w:pos="2880"/>
        </w:tabs>
        <w:ind w:left="2880" w:hanging="360"/>
      </w:pPr>
    </w:lvl>
    <w:lvl w:ilvl="4" w:tplc="9BCC4E06" w:tentative="1">
      <w:start w:val="1"/>
      <w:numFmt w:val="decimal"/>
      <w:lvlText w:val="%5."/>
      <w:lvlJc w:val="left"/>
      <w:pPr>
        <w:tabs>
          <w:tab w:val="num" w:pos="3600"/>
        </w:tabs>
        <w:ind w:left="3600" w:hanging="360"/>
      </w:pPr>
    </w:lvl>
    <w:lvl w:ilvl="5" w:tplc="C97C3ED8" w:tentative="1">
      <w:start w:val="1"/>
      <w:numFmt w:val="decimal"/>
      <w:lvlText w:val="%6."/>
      <w:lvlJc w:val="left"/>
      <w:pPr>
        <w:tabs>
          <w:tab w:val="num" w:pos="4320"/>
        </w:tabs>
        <w:ind w:left="4320" w:hanging="360"/>
      </w:pPr>
    </w:lvl>
    <w:lvl w:ilvl="6" w:tplc="6C1C0628" w:tentative="1">
      <w:start w:val="1"/>
      <w:numFmt w:val="decimal"/>
      <w:lvlText w:val="%7."/>
      <w:lvlJc w:val="left"/>
      <w:pPr>
        <w:tabs>
          <w:tab w:val="num" w:pos="5040"/>
        </w:tabs>
        <w:ind w:left="5040" w:hanging="360"/>
      </w:pPr>
    </w:lvl>
    <w:lvl w:ilvl="7" w:tplc="84FC24DE" w:tentative="1">
      <w:start w:val="1"/>
      <w:numFmt w:val="decimal"/>
      <w:lvlText w:val="%8."/>
      <w:lvlJc w:val="left"/>
      <w:pPr>
        <w:tabs>
          <w:tab w:val="num" w:pos="5760"/>
        </w:tabs>
        <w:ind w:left="5760" w:hanging="360"/>
      </w:pPr>
    </w:lvl>
    <w:lvl w:ilvl="8" w:tplc="9BBCE726"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footnotePr>
    <w:footnote w:id="-1"/>
    <w:footnote w:id="0"/>
  </w:footnotePr>
  <w:endnotePr>
    <w:endnote w:id="-1"/>
    <w:endnote w:id="0"/>
  </w:endnotePr>
  <w:compat/>
  <w:rsids>
    <w:rsidRoot w:val="00892E3A"/>
    <w:rsid w:val="000D1D5A"/>
    <w:rsid w:val="000E1256"/>
    <w:rsid w:val="00116EFA"/>
    <w:rsid w:val="00123B78"/>
    <w:rsid w:val="00133356"/>
    <w:rsid w:val="00180B63"/>
    <w:rsid w:val="001D1698"/>
    <w:rsid w:val="002D7086"/>
    <w:rsid w:val="003A5C47"/>
    <w:rsid w:val="003D1BEE"/>
    <w:rsid w:val="003E5259"/>
    <w:rsid w:val="00425ADF"/>
    <w:rsid w:val="00440FD3"/>
    <w:rsid w:val="00494E20"/>
    <w:rsid w:val="004A4724"/>
    <w:rsid w:val="00507132"/>
    <w:rsid w:val="00513C00"/>
    <w:rsid w:val="005663B7"/>
    <w:rsid w:val="00573B78"/>
    <w:rsid w:val="00574417"/>
    <w:rsid w:val="005E0427"/>
    <w:rsid w:val="005E7946"/>
    <w:rsid w:val="006018A4"/>
    <w:rsid w:val="00601DE0"/>
    <w:rsid w:val="0061385F"/>
    <w:rsid w:val="006327E6"/>
    <w:rsid w:val="006601CB"/>
    <w:rsid w:val="00674CAB"/>
    <w:rsid w:val="00677B19"/>
    <w:rsid w:val="006B0371"/>
    <w:rsid w:val="006D3CBB"/>
    <w:rsid w:val="007D739D"/>
    <w:rsid w:val="007E6F54"/>
    <w:rsid w:val="0082568A"/>
    <w:rsid w:val="00892E3A"/>
    <w:rsid w:val="008A0857"/>
    <w:rsid w:val="008D6EDD"/>
    <w:rsid w:val="008E0FF2"/>
    <w:rsid w:val="00901750"/>
    <w:rsid w:val="00935C28"/>
    <w:rsid w:val="00941A92"/>
    <w:rsid w:val="00964F62"/>
    <w:rsid w:val="009901CF"/>
    <w:rsid w:val="009A1D10"/>
    <w:rsid w:val="009D3661"/>
    <w:rsid w:val="00A70F23"/>
    <w:rsid w:val="00A925A9"/>
    <w:rsid w:val="00B21378"/>
    <w:rsid w:val="00B6092D"/>
    <w:rsid w:val="00BA274D"/>
    <w:rsid w:val="00BC3AFA"/>
    <w:rsid w:val="00BE0F0D"/>
    <w:rsid w:val="00C26281"/>
    <w:rsid w:val="00C6176F"/>
    <w:rsid w:val="00C842C6"/>
    <w:rsid w:val="00CD0B2A"/>
    <w:rsid w:val="00D36004"/>
    <w:rsid w:val="00D856A6"/>
    <w:rsid w:val="00DC120F"/>
    <w:rsid w:val="00DF7A02"/>
    <w:rsid w:val="00E723FA"/>
    <w:rsid w:val="00EF72C1"/>
    <w:rsid w:val="00F102B8"/>
    <w:rsid w:val="00F1798D"/>
    <w:rsid w:val="00F23569"/>
    <w:rsid w:val="00F263B6"/>
    <w:rsid w:val="00F76876"/>
    <w:rsid w:val="2D88603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1D1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schmalesLeerzeichen">
    <w:name w:val="schmales Leerzeichen"/>
    <w:basedOn w:val="Absatz-Standardschriftart"/>
    <w:uiPriority w:val="1"/>
    <w:qFormat/>
    <w:rsid w:val="00DF7A02"/>
    <w:rPr>
      <w:rFonts w:ascii="Times New Roman" w:hAnsi="Times New Roman" w:cs="Times New Roman"/>
      <w:spacing w:val="-20"/>
    </w:rPr>
  </w:style>
  <w:style w:type="paragraph" w:styleId="StandardWeb">
    <w:name w:val="Normal (Web)"/>
    <w:basedOn w:val="Standard"/>
    <w:uiPriority w:val="99"/>
    <w:semiHidden/>
    <w:unhideWhenUsed/>
    <w:rsid w:val="00892E3A"/>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semiHidden/>
    <w:unhideWhenUsed/>
    <w:rsid w:val="003D1BE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3D1BEE"/>
  </w:style>
  <w:style w:type="paragraph" w:styleId="Fuzeile">
    <w:name w:val="footer"/>
    <w:basedOn w:val="Standard"/>
    <w:link w:val="FuzeileZchn"/>
    <w:unhideWhenUsed/>
    <w:rsid w:val="003D1BEE"/>
    <w:pPr>
      <w:tabs>
        <w:tab w:val="center" w:pos="4536"/>
        <w:tab w:val="right" w:pos="9072"/>
      </w:tabs>
      <w:spacing w:after="0" w:line="240" w:lineRule="auto"/>
    </w:pPr>
  </w:style>
  <w:style w:type="character" w:customStyle="1" w:styleId="FuzeileZchn">
    <w:name w:val="Fußzeile Zchn"/>
    <w:basedOn w:val="Absatz-Standardschriftart"/>
    <w:link w:val="Fuzeile"/>
    <w:rsid w:val="003D1BEE"/>
  </w:style>
  <w:style w:type="paragraph" w:styleId="Titel">
    <w:name w:val="Title"/>
    <w:basedOn w:val="Standard"/>
    <w:next w:val="Standard"/>
    <w:link w:val="TitelZchn"/>
    <w:uiPriority w:val="10"/>
    <w:qFormat/>
    <w:rsid w:val="003D1B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3D1BEE"/>
    <w:rPr>
      <w:rFonts w:asciiTheme="majorHAnsi" w:eastAsiaTheme="majorEastAsia" w:hAnsiTheme="majorHAnsi" w:cstheme="majorBidi"/>
      <w:color w:val="17365D" w:themeColor="text2" w:themeShade="BF"/>
      <w:spacing w:val="5"/>
      <w:kern w:val="28"/>
      <w:sz w:val="52"/>
      <w:szCs w:val="52"/>
    </w:rPr>
  </w:style>
  <w:style w:type="paragraph" w:styleId="Kommentartext">
    <w:name w:val="annotation text"/>
    <w:basedOn w:val="Standard"/>
    <w:link w:val="KommentartextZchn"/>
    <w:uiPriority w:val="99"/>
    <w:semiHidden/>
    <w:unhideWhenUsed/>
    <w:rsid w:val="00935C2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35C28"/>
    <w:rPr>
      <w:sz w:val="20"/>
      <w:szCs w:val="20"/>
    </w:rPr>
  </w:style>
  <w:style w:type="character" w:styleId="Kommentarzeichen">
    <w:name w:val="annotation reference"/>
    <w:basedOn w:val="Absatz-Standardschriftart"/>
    <w:uiPriority w:val="99"/>
    <w:semiHidden/>
    <w:unhideWhenUsed/>
    <w:rsid w:val="00935C28"/>
    <w:rPr>
      <w:sz w:val="16"/>
      <w:szCs w:val="16"/>
    </w:rPr>
  </w:style>
  <w:style w:type="paragraph" w:styleId="Sprechblasentext">
    <w:name w:val="Balloon Text"/>
    <w:basedOn w:val="Standard"/>
    <w:link w:val="SprechblasentextZchn"/>
    <w:uiPriority w:val="99"/>
    <w:semiHidden/>
    <w:unhideWhenUsed/>
    <w:rsid w:val="00964F6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64F62"/>
    <w:rPr>
      <w:rFonts w:ascii="Tahoma" w:hAnsi="Tahoma" w:cs="Tahoma"/>
      <w:sz w:val="16"/>
      <w:szCs w:val="16"/>
    </w:rPr>
  </w:style>
  <w:style w:type="paragraph" w:styleId="Listenabsatz">
    <w:name w:val="List Paragraph"/>
    <w:basedOn w:val="Standard"/>
    <w:uiPriority w:val="34"/>
    <w:qFormat/>
    <w:rsid w:val="00964F62"/>
    <w:pPr>
      <w:ind w:left="720"/>
      <w:contextualSpacing/>
    </w:pPr>
  </w:style>
</w:styles>
</file>

<file path=word/webSettings.xml><?xml version="1.0" encoding="utf-8"?>
<w:webSettings xmlns:r="http://schemas.openxmlformats.org/officeDocument/2006/relationships" xmlns:w="http://schemas.openxmlformats.org/wordprocessingml/2006/main">
  <w:divs>
    <w:div w:id="151527531">
      <w:bodyDiv w:val="1"/>
      <w:marLeft w:val="0"/>
      <w:marRight w:val="0"/>
      <w:marTop w:val="0"/>
      <w:marBottom w:val="0"/>
      <w:divBdr>
        <w:top w:val="none" w:sz="0" w:space="0" w:color="auto"/>
        <w:left w:val="none" w:sz="0" w:space="0" w:color="auto"/>
        <w:bottom w:val="none" w:sz="0" w:space="0" w:color="auto"/>
        <w:right w:val="none" w:sz="0" w:space="0" w:color="auto"/>
      </w:divBdr>
      <w:divsChild>
        <w:div w:id="377583373">
          <w:marLeft w:val="360"/>
          <w:marRight w:val="0"/>
          <w:marTop w:val="86"/>
          <w:marBottom w:val="0"/>
          <w:divBdr>
            <w:top w:val="none" w:sz="0" w:space="0" w:color="auto"/>
            <w:left w:val="none" w:sz="0" w:space="0" w:color="auto"/>
            <w:bottom w:val="none" w:sz="0" w:space="0" w:color="auto"/>
            <w:right w:val="none" w:sz="0" w:space="0" w:color="auto"/>
          </w:divBdr>
        </w:div>
        <w:div w:id="1493369096">
          <w:marLeft w:val="360"/>
          <w:marRight w:val="0"/>
          <w:marTop w:val="86"/>
          <w:marBottom w:val="0"/>
          <w:divBdr>
            <w:top w:val="none" w:sz="0" w:space="0" w:color="auto"/>
            <w:left w:val="none" w:sz="0" w:space="0" w:color="auto"/>
            <w:bottom w:val="none" w:sz="0" w:space="0" w:color="auto"/>
            <w:right w:val="none" w:sz="0" w:space="0" w:color="auto"/>
          </w:divBdr>
        </w:div>
        <w:div w:id="676348733">
          <w:marLeft w:val="360"/>
          <w:marRight w:val="0"/>
          <w:marTop w:val="86"/>
          <w:marBottom w:val="0"/>
          <w:divBdr>
            <w:top w:val="none" w:sz="0" w:space="0" w:color="auto"/>
            <w:left w:val="none" w:sz="0" w:space="0" w:color="auto"/>
            <w:bottom w:val="none" w:sz="0" w:space="0" w:color="auto"/>
            <w:right w:val="none" w:sz="0" w:space="0" w:color="auto"/>
          </w:divBdr>
        </w:div>
      </w:divsChild>
    </w:div>
    <w:div w:id="237327552">
      <w:bodyDiv w:val="1"/>
      <w:marLeft w:val="0"/>
      <w:marRight w:val="0"/>
      <w:marTop w:val="0"/>
      <w:marBottom w:val="0"/>
      <w:divBdr>
        <w:top w:val="none" w:sz="0" w:space="0" w:color="auto"/>
        <w:left w:val="none" w:sz="0" w:space="0" w:color="auto"/>
        <w:bottom w:val="none" w:sz="0" w:space="0" w:color="auto"/>
        <w:right w:val="none" w:sz="0" w:space="0" w:color="auto"/>
      </w:divBdr>
    </w:div>
    <w:div w:id="419251387">
      <w:bodyDiv w:val="1"/>
      <w:marLeft w:val="0"/>
      <w:marRight w:val="0"/>
      <w:marTop w:val="0"/>
      <w:marBottom w:val="0"/>
      <w:divBdr>
        <w:top w:val="none" w:sz="0" w:space="0" w:color="auto"/>
        <w:left w:val="none" w:sz="0" w:space="0" w:color="auto"/>
        <w:bottom w:val="none" w:sz="0" w:space="0" w:color="auto"/>
        <w:right w:val="none" w:sz="0" w:space="0" w:color="auto"/>
      </w:divBdr>
      <w:divsChild>
        <w:div w:id="2006862222">
          <w:marLeft w:val="547"/>
          <w:marRight w:val="0"/>
          <w:marTop w:val="77"/>
          <w:marBottom w:val="0"/>
          <w:divBdr>
            <w:top w:val="none" w:sz="0" w:space="0" w:color="auto"/>
            <w:left w:val="none" w:sz="0" w:space="0" w:color="auto"/>
            <w:bottom w:val="none" w:sz="0" w:space="0" w:color="auto"/>
            <w:right w:val="none" w:sz="0" w:space="0" w:color="auto"/>
          </w:divBdr>
        </w:div>
        <w:div w:id="1811628447">
          <w:marLeft w:val="547"/>
          <w:marRight w:val="0"/>
          <w:marTop w:val="77"/>
          <w:marBottom w:val="0"/>
          <w:divBdr>
            <w:top w:val="none" w:sz="0" w:space="0" w:color="auto"/>
            <w:left w:val="none" w:sz="0" w:space="0" w:color="auto"/>
            <w:bottom w:val="none" w:sz="0" w:space="0" w:color="auto"/>
            <w:right w:val="none" w:sz="0" w:space="0" w:color="auto"/>
          </w:divBdr>
        </w:div>
        <w:div w:id="454952619">
          <w:marLeft w:val="547"/>
          <w:marRight w:val="0"/>
          <w:marTop w:val="77"/>
          <w:marBottom w:val="0"/>
          <w:divBdr>
            <w:top w:val="none" w:sz="0" w:space="0" w:color="auto"/>
            <w:left w:val="none" w:sz="0" w:space="0" w:color="auto"/>
            <w:bottom w:val="none" w:sz="0" w:space="0" w:color="auto"/>
            <w:right w:val="none" w:sz="0" w:space="0" w:color="auto"/>
          </w:divBdr>
        </w:div>
        <w:div w:id="1022172229">
          <w:marLeft w:val="547"/>
          <w:marRight w:val="0"/>
          <w:marTop w:val="77"/>
          <w:marBottom w:val="0"/>
          <w:divBdr>
            <w:top w:val="none" w:sz="0" w:space="0" w:color="auto"/>
            <w:left w:val="none" w:sz="0" w:space="0" w:color="auto"/>
            <w:bottom w:val="none" w:sz="0" w:space="0" w:color="auto"/>
            <w:right w:val="none" w:sz="0" w:space="0" w:color="auto"/>
          </w:divBdr>
        </w:div>
      </w:divsChild>
    </w:div>
    <w:div w:id="1218009003">
      <w:bodyDiv w:val="1"/>
      <w:marLeft w:val="0"/>
      <w:marRight w:val="0"/>
      <w:marTop w:val="0"/>
      <w:marBottom w:val="0"/>
      <w:divBdr>
        <w:top w:val="none" w:sz="0" w:space="0" w:color="auto"/>
        <w:left w:val="none" w:sz="0" w:space="0" w:color="auto"/>
        <w:bottom w:val="none" w:sz="0" w:space="0" w:color="auto"/>
        <w:right w:val="none" w:sz="0" w:space="0" w:color="auto"/>
      </w:divBdr>
    </w:div>
    <w:div w:id="1258322612">
      <w:bodyDiv w:val="1"/>
      <w:marLeft w:val="0"/>
      <w:marRight w:val="0"/>
      <w:marTop w:val="0"/>
      <w:marBottom w:val="0"/>
      <w:divBdr>
        <w:top w:val="none" w:sz="0" w:space="0" w:color="auto"/>
        <w:left w:val="none" w:sz="0" w:space="0" w:color="auto"/>
        <w:bottom w:val="none" w:sz="0" w:space="0" w:color="auto"/>
        <w:right w:val="none" w:sz="0" w:space="0" w:color="auto"/>
      </w:divBdr>
    </w:div>
    <w:div w:id="1336811388">
      <w:bodyDiv w:val="1"/>
      <w:marLeft w:val="0"/>
      <w:marRight w:val="0"/>
      <w:marTop w:val="0"/>
      <w:marBottom w:val="0"/>
      <w:divBdr>
        <w:top w:val="none" w:sz="0" w:space="0" w:color="auto"/>
        <w:left w:val="none" w:sz="0" w:space="0" w:color="auto"/>
        <w:bottom w:val="none" w:sz="0" w:space="0" w:color="auto"/>
        <w:right w:val="none" w:sz="0" w:space="0" w:color="auto"/>
      </w:divBdr>
    </w:div>
    <w:div w:id="158703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701</Words>
  <Characters>4419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Franziska Witzmann</dc:creator>
  <cp:lastModifiedBy>Franziska Witzmann</cp:lastModifiedBy>
  <cp:revision>5</cp:revision>
  <dcterms:created xsi:type="dcterms:W3CDTF">2018-02-19T13:55:00Z</dcterms:created>
  <dcterms:modified xsi:type="dcterms:W3CDTF">2018-03-01T10:52:00Z</dcterms:modified>
</cp:coreProperties>
</file>