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D8A" w:rsidRPr="00B947A0" w:rsidRDefault="00B66D8A" w:rsidP="00C30FF7">
      <w:pPr>
        <w:pStyle w:val="Titel"/>
        <w:spacing w:line="360" w:lineRule="auto"/>
        <w:rPr>
          <w:rFonts w:ascii="Arial" w:hAnsi="Arial" w:cs="Arial"/>
        </w:rPr>
      </w:pPr>
      <w:r w:rsidRPr="00B947A0">
        <w:rPr>
          <w:rFonts w:ascii="Arial" w:hAnsi="Arial" w:cs="Arial"/>
        </w:rPr>
        <w:t>Material</w:t>
      </w:r>
    </w:p>
    <w:p w:rsidR="009A1D10" w:rsidRPr="00B947A0" w:rsidRDefault="002D21A0" w:rsidP="00C30FF7">
      <w:pPr>
        <w:spacing w:line="360" w:lineRule="auto"/>
        <w:rPr>
          <w:rFonts w:ascii="Arial" w:hAnsi="Arial" w:cs="Arial"/>
          <w:b/>
        </w:rPr>
      </w:pPr>
      <w:r w:rsidRPr="00B947A0">
        <w:rPr>
          <w:rFonts w:ascii="Arial" w:hAnsi="Arial" w:cs="Arial"/>
          <w:b/>
        </w:rPr>
        <w:t>Art. 19 Selbstbestimmt Leben und Einbeziehung in die Gemeinschaft</w:t>
      </w:r>
    </w:p>
    <w:p w:rsidR="002D21A0" w:rsidRPr="00B947A0" w:rsidRDefault="002D21A0" w:rsidP="00C30FF7">
      <w:pPr>
        <w:spacing w:line="360" w:lineRule="auto"/>
        <w:rPr>
          <w:rFonts w:ascii="Arial" w:hAnsi="Arial" w:cs="Arial"/>
        </w:rPr>
      </w:pPr>
      <w:r w:rsidRPr="00B947A0">
        <w:rPr>
          <w:rFonts w:ascii="Arial" w:hAnsi="Arial" w:cs="Arial"/>
        </w:rPr>
        <w:t>Die Vertragsstaaten dieses Übereinkommens anerkennen das gleiche Recht aller Menschen mit Behinderungen, mit gleichen Wahlmöglichkeiten wie andere Menschen in der Gemeinschaft zu leben, und treffen wirksame und geeignete Maßnahmen, u</w:t>
      </w:r>
      <w:bookmarkStart w:id="0" w:name="_GoBack"/>
      <w:bookmarkEnd w:id="0"/>
      <w:r w:rsidRPr="00B947A0">
        <w:rPr>
          <w:rFonts w:ascii="Arial" w:hAnsi="Arial" w:cs="Arial"/>
        </w:rPr>
        <w:t xml:space="preserve">m Menschen mit Behinderungen den vollen Genuss dieses Rechts und ihre volle Einbeziehung in die Gemeinschaft und Teilhabe an der Gemeinschaft zu erleichtern, indem sie unter anderem gewährleisten, dass </w:t>
      </w:r>
    </w:p>
    <w:p w:rsidR="002D21A0" w:rsidRPr="00B947A0" w:rsidRDefault="002D21A0" w:rsidP="00C30FF7">
      <w:pPr>
        <w:spacing w:line="360" w:lineRule="auto"/>
        <w:rPr>
          <w:rFonts w:ascii="Arial" w:hAnsi="Arial" w:cs="Arial"/>
        </w:rPr>
      </w:pPr>
      <w:r w:rsidRPr="00B947A0">
        <w:rPr>
          <w:rFonts w:ascii="Arial" w:hAnsi="Arial" w:cs="Arial"/>
          <w:i/>
          <w:iCs/>
        </w:rPr>
        <w:t>a</w:t>
      </w:r>
      <w:r w:rsidRPr="00B947A0">
        <w:rPr>
          <w:rFonts w:ascii="Arial" w:hAnsi="Arial" w:cs="Arial"/>
        </w:rPr>
        <w:t xml:space="preserve">) Menschen mit Behinderungen gleichberechtigt mit anderen die Möglichkeit haben, ihren Aufenthaltsort zu wählen und zu entscheiden, wo und mit wem sie leben, und nicht verpflichtet sind, in besonderen Wohnformen zu leben; </w:t>
      </w:r>
    </w:p>
    <w:p w:rsidR="002D21A0" w:rsidRPr="00B947A0" w:rsidRDefault="002D21A0" w:rsidP="00C30FF7">
      <w:pPr>
        <w:spacing w:line="360" w:lineRule="auto"/>
        <w:rPr>
          <w:rFonts w:ascii="Arial" w:hAnsi="Arial" w:cs="Arial"/>
        </w:rPr>
      </w:pPr>
      <w:r w:rsidRPr="00B947A0">
        <w:rPr>
          <w:rFonts w:ascii="Arial" w:hAnsi="Arial" w:cs="Arial"/>
          <w:i/>
          <w:iCs/>
        </w:rPr>
        <w:t>b</w:t>
      </w:r>
      <w:r w:rsidRPr="00B947A0">
        <w:rPr>
          <w:rFonts w:ascii="Arial" w:hAnsi="Arial" w:cs="Arial"/>
        </w:rPr>
        <w:t xml:space="preserve">) Menschen mit Behinderungen Zugang zu einer Reihe von gemeindenahen Unterstützungsdiensten zu Hause und in Einrichtungen sowie zu sonstigen gemeindenahen Unterstützungsdiensten haben, einschließlich der persönlichen Assistenz, die zur Unterstützung des Lebens in der Gemeinschaft und der Einbeziehung in die Gemeinschaft sowie zur Verhinderung von Isolation und Absonderung von der Gemeinschaft notwendig ist; </w:t>
      </w:r>
    </w:p>
    <w:p w:rsidR="002D21A0" w:rsidRPr="00B947A0" w:rsidRDefault="002D21A0" w:rsidP="00C30FF7">
      <w:pPr>
        <w:spacing w:line="360" w:lineRule="auto"/>
        <w:rPr>
          <w:rFonts w:ascii="Arial" w:hAnsi="Arial" w:cs="Arial"/>
        </w:rPr>
      </w:pPr>
      <w:r w:rsidRPr="00B947A0">
        <w:rPr>
          <w:rFonts w:ascii="Arial" w:hAnsi="Arial" w:cs="Arial"/>
          <w:i/>
          <w:iCs/>
        </w:rPr>
        <w:t>c</w:t>
      </w:r>
      <w:r w:rsidRPr="00B947A0">
        <w:rPr>
          <w:rFonts w:ascii="Arial" w:hAnsi="Arial" w:cs="Arial"/>
        </w:rPr>
        <w:t xml:space="preserve">) gemeindenahe Dienstleistungen und Einrichtungen für die Allgemeinheit Menschen mit Behinderungen auf der Grundlage der Gleichberechtigung zur Verfügung stehen und ihren Bedürfnissen Rechnung tragen. </w:t>
      </w:r>
    </w:p>
    <w:p w:rsidR="00750A82" w:rsidRPr="00B947A0" w:rsidRDefault="7F8475D9" w:rsidP="00C30FF7">
      <w:pPr>
        <w:spacing w:line="360" w:lineRule="auto"/>
        <w:rPr>
          <w:rFonts w:ascii="Arial" w:hAnsi="Arial" w:cs="Arial"/>
          <w:b/>
        </w:rPr>
      </w:pPr>
      <w:r w:rsidRPr="00B947A0">
        <w:rPr>
          <w:rFonts w:ascii="Arial" w:hAnsi="Arial" w:cs="Arial"/>
          <w:b/>
          <w:bCs/>
        </w:rPr>
        <w:t>Der BRK-Ausschuss zu Art. 19 BRK</w:t>
      </w:r>
      <w:r w:rsidR="00750A82" w:rsidRPr="00B947A0">
        <w:rPr>
          <w:rFonts w:ascii="Arial" w:hAnsi="Arial" w:cs="Arial"/>
          <w:b/>
          <w:bCs/>
        </w:rPr>
        <w:t xml:space="preserve">: </w:t>
      </w:r>
      <w:r w:rsidR="00750A82" w:rsidRPr="00B947A0">
        <w:rPr>
          <w:rFonts w:ascii="Arial" w:hAnsi="Arial" w:cs="Arial"/>
          <w:b/>
        </w:rPr>
        <w:t>Abschließende Bemerkungen über den ersten Staatenbericht Deutschlands</w:t>
      </w:r>
    </w:p>
    <w:p w:rsidR="00750A82" w:rsidRPr="00B947A0" w:rsidRDefault="00750A82" w:rsidP="00C30FF7">
      <w:pPr>
        <w:spacing w:line="360" w:lineRule="auto"/>
        <w:rPr>
          <w:rFonts w:ascii="Arial" w:hAnsi="Arial" w:cs="Arial"/>
        </w:rPr>
      </w:pPr>
      <w:r w:rsidRPr="00B947A0">
        <w:rPr>
          <w:rFonts w:ascii="Arial" w:hAnsi="Arial" w:cs="Arial"/>
        </w:rPr>
        <w:t xml:space="preserve">42. Der Ausschuss empfiehlt dem Vertragsstaat, </w:t>
      </w:r>
    </w:p>
    <w:p w:rsidR="00750A82" w:rsidRPr="00B947A0" w:rsidRDefault="00750A82" w:rsidP="00C30FF7">
      <w:pPr>
        <w:spacing w:line="360" w:lineRule="auto"/>
        <w:rPr>
          <w:rFonts w:ascii="Arial" w:hAnsi="Arial" w:cs="Arial"/>
        </w:rPr>
      </w:pPr>
      <w:r w:rsidRPr="00B947A0">
        <w:rPr>
          <w:rFonts w:ascii="Arial" w:hAnsi="Arial" w:cs="Arial"/>
        </w:rPr>
        <w:t xml:space="preserve">(a) Schritte zur Novellierung von § 13 Abs. 1 Satz 3 des Zwölften Buchs des Sozialgesetzbuchs zu unternehmen, um durch umfangreichere soziale Assistenzdienste Inklusion, Selbstbestimmung und die Entscheidung, in der Gemeinschaft zu leben, zu ermöglichen; </w:t>
      </w:r>
    </w:p>
    <w:p w:rsidR="00750A82" w:rsidRPr="00B947A0" w:rsidRDefault="00750A82" w:rsidP="00C30FF7">
      <w:pPr>
        <w:spacing w:line="360" w:lineRule="auto"/>
        <w:rPr>
          <w:rFonts w:ascii="Arial" w:hAnsi="Arial" w:cs="Arial"/>
        </w:rPr>
      </w:pPr>
      <w:r w:rsidRPr="00B947A0">
        <w:rPr>
          <w:rFonts w:ascii="Arial" w:hAnsi="Arial" w:cs="Arial"/>
        </w:rPr>
        <w:t xml:space="preserve">(b) ausreichende Finanzmittel verfügbar zu machen, um die Deinstitutionalisierung zu erleichtern und die unabhängige Lebensführung zu fördern, einschließlich höherer Finanzmittel für die Bereitstellung ambulanter Dienste in der Gemeinde, die Menschen mit </w:t>
      </w:r>
      <w:r w:rsidRPr="00B947A0">
        <w:rPr>
          <w:rFonts w:ascii="Arial" w:hAnsi="Arial" w:cs="Arial"/>
        </w:rPr>
        <w:lastRenderedPageBreak/>
        <w:t xml:space="preserve">geistigen oder psychosozialen Behinderungen auf der Grundlage der freien und informierten Einwilligung der/des Betroffenen bundesweit die erforderliche Unterstützung gewähren; </w:t>
      </w:r>
    </w:p>
    <w:p w:rsidR="002D21A0" w:rsidRPr="00B947A0" w:rsidRDefault="00750A82" w:rsidP="00C30FF7">
      <w:pPr>
        <w:spacing w:line="360" w:lineRule="auto"/>
        <w:rPr>
          <w:rFonts w:ascii="Arial" w:hAnsi="Arial" w:cs="Arial"/>
        </w:rPr>
      </w:pPr>
      <w:r w:rsidRPr="00B947A0">
        <w:rPr>
          <w:rFonts w:ascii="Arial" w:hAnsi="Arial" w:cs="Arial"/>
        </w:rPr>
        <w:t>(c) den Zugang zu Programmen und Leistungen zu verbessern, die das Leben in der Gemeinschaft unterstützen und behinderungsbedingte Aufwendungen decken.</w:t>
      </w:r>
      <w:r w:rsidR="002D21A0" w:rsidRPr="00B947A0">
        <w:rPr>
          <w:rFonts w:ascii="Arial" w:hAnsi="Arial" w:cs="Arial"/>
        </w:rPr>
        <w:t xml:space="preserve"> </w:t>
      </w:r>
    </w:p>
    <w:p w:rsidR="00F027B6" w:rsidRPr="00B947A0" w:rsidRDefault="00F027B6" w:rsidP="00C30FF7">
      <w:pPr>
        <w:spacing w:line="360" w:lineRule="auto"/>
        <w:rPr>
          <w:rFonts w:ascii="Arial" w:hAnsi="Arial" w:cs="Arial"/>
          <w:i/>
        </w:rPr>
      </w:pPr>
      <w:r w:rsidRPr="00B947A0">
        <w:rPr>
          <w:rFonts w:ascii="Arial" w:hAnsi="Arial" w:cs="Arial"/>
          <w:i/>
        </w:rPr>
        <w:t>Ausschuss für die Rechte von Menschen mit Behinderungen (2015): Abschließende Bemerkungen über den ersten Staatenbericht Deutschlands, CRPD/C/DEU/CO/1, 17. April 2015; Deutsche Übersetzung der Monitoring-Stelle zur UN-BRK</w:t>
      </w:r>
    </w:p>
    <w:p w:rsidR="00B66D8A" w:rsidRPr="00B947A0" w:rsidRDefault="00B66D8A" w:rsidP="00C30FF7">
      <w:pPr>
        <w:spacing w:line="360" w:lineRule="auto"/>
        <w:rPr>
          <w:rFonts w:ascii="Arial" w:eastAsiaTheme="majorEastAsia" w:hAnsi="Arial" w:cs="Arial"/>
          <w:color w:val="17365D" w:themeColor="text2" w:themeShade="BF"/>
          <w:spacing w:val="5"/>
          <w:kern w:val="28"/>
          <w:sz w:val="52"/>
          <w:szCs w:val="52"/>
        </w:rPr>
      </w:pPr>
      <w:r w:rsidRPr="00B947A0">
        <w:rPr>
          <w:rFonts w:ascii="Arial" w:hAnsi="Arial" w:cs="Arial"/>
        </w:rPr>
        <w:br w:type="page"/>
      </w:r>
    </w:p>
    <w:p w:rsidR="00B66D8A" w:rsidRPr="00B947A0" w:rsidRDefault="00B66D8A" w:rsidP="00C30FF7">
      <w:pPr>
        <w:pStyle w:val="Titel"/>
        <w:spacing w:line="360" w:lineRule="auto"/>
        <w:rPr>
          <w:rFonts w:ascii="Arial" w:hAnsi="Arial" w:cs="Arial"/>
        </w:rPr>
      </w:pPr>
      <w:r w:rsidRPr="00B947A0">
        <w:rPr>
          <w:rFonts w:ascii="Arial" w:hAnsi="Arial" w:cs="Arial"/>
        </w:rPr>
        <w:lastRenderedPageBreak/>
        <w:t>Fragen an die Gruppe</w:t>
      </w:r>
    </w:p>
    <w:p w:rsidR="0019487D" w:rsidRPr="00B947A0" w:rsidRDefault="006D01DE" w:rsidP="00C30FF7">
      <w:pPr>
        <w:numPr>
          <w:ilvl w:val="0"/>
          <w:numId w:val="1"/>
        </w:numPr>
        <w:spacing w:line="360" w:lineRule="auto"/>
        <w:rPr>
          <w:rFonts w:ascii="Arial" w:hAnsi="Arial" w:cs="Arial"/>
        </w:rPr>
      </w:pPr>
      <w:r w:rsidRPr="00B947A0">
        <w:rPr>
          <w:rFonts w:ascii="Arial" w:hAnsi="Arial" w:cs="Arial"/>
        </w:rPr>
        <w:t>Ist selbstbestimmtes Leben im Sinnen von Art. 19 BRK in einer stationären Einrichtung möglich?</w:t>
      </w:r>
    </w:p>
    <w:p w:rsidR="0019487D" w:rsidRPr="00B947A0" w:rsidRDefault="006D01DE" w:rsidP="00C30FF7">
      <w:pPr>
        <w:numPr>
          <w:ilvl w:val="0"/>
          <w:numId w:val="1"/>
        </w:numPr>
        <w:spacing w:line="360" w:lineRule="auto"/>
        <w:rPr>
          <w:rFonts w:ascii="Arial" w:hAnsi="Arial" w:cs="Arial"/>
        </w:rPr>
      </w:pPr>
      <w:r w:rsidRPr="00B947A0">
        <w:rPr>
          <w:rFonts w:ascii="Arial" w:hAnsi="Arial" w:cs="Arial"/>
        </w:rPr>
        <w:t>Erfüllen betreute Wohngruppen die Anforderungen des Art. 19 BRK?</w:t>
      </w:r>
    </w:p>
    <w:p w:rsidR="0019487D" w:rsidRPr="00B947A0" w:rsidRDefault="006D01DE" w:rsidP="00C30FF7">
      <w:pPr>
        <w:numPr>
          <w:ilvl w:val="0"/>
          <w:numId w:val="1"/>
        </w:numPr>
        <w:spacing w:line="360" w:lineRule="auto"/>
        <w:rPr>
          <w:rFonts w:ascii="Arial" w:hAnsi="Arial" w:cs="Arial"/>
        </w:rPr>
      </w:pPr>
      <w:r w:rsidRPr="00B947A0">
        <w:rPr>
          <w:rFonts w:ascii="Arial" w:hAnsi="Arial" w:cs="Arial"/>
        </w:rPr>
        <w:t xml:space="preserve">Können sich auch so genannte „schwerst mehrfach behinderte“ Menschen auf Art. 19 berufen? </w:t>
      </w:r>
    </w:p>
    <w:p w:rsidR="002D21A0" w:rsidRPr="00B947A0" w:rsidRDefault="002D21A0" w:rsidP="00C30FF7">
      <w:pPr>
        <w:spacing w:after="0" w:line="360" w:lineRule="auto"/>
        <w:rPr>
          <w:rFonts w:ascii="Arial" w:hAnsi="Arial" w:cs="Arial"/>
          <w:b/>
        </w:rPr>
      </w:pPr>
      <w:r w:rsidRPr="00B947A0">
        <w:rPr>
          <w:rFonts w:ascii="Arial" w:hAnsi="Arial" w:cs="Arial"/>
          <w:b/>
        </w:rPr>
        <w:t xml:space="preserve">Hinweis: </w:t>
      </w:r>
    </w:p>
    <w:p w:rsidR="002D21A0" w:rsidRPr="00B947A0" w:rsidRDefault="002D21A0" w:rsidP="00C30FF7">
      <w:pPr>
        <w:spacing w:line="360" w:lineRule="auto"/>
        <w:rPr>
          <w:rFonts w:ascii="Arial" w:hAnsi="Arial" w:cs="Arial"/>
        </w:rPr>
      </w:pPr>
      <w:r w:rsidRPr="00B947A0">
        <w:rPr>
          <w:rFonts w:ascii="Arial" w:hAnsi="Arial" w:cs="Arial"/>
        </w:rPr>
        <w:t>Der Begriff „selbstbestimmt Leben“ ist die deutsche Übersetzung von „independent living“. Der Terminus bezeichnet ein Konzept und eine soziale Bewegung. Das Net</w:t>
      </w:r>
      <w:r w:rsidR="00B66D8A" w:rsidRPr="00B947A0">
        <w:rPr>
          <w:rFonts w:ascii="Arial" w:hAnsi="Arial" w:cs="Arial"/>
        </w:rPr>
        <w:t>z</w:t>
      </w:r>
      <w:r w:rsidRPr="00B947A0">
        <w:rPr>
          <w:rFonts w:ascii="Arial" w:hAnsi="Arial" w:cs="Arial"/>
        </w:rPr>
        <w:t>werk „European Network on Independent Living“ (ENIL) hat die Begriffe „independent living“, „personal assistance“ und „deinstitutionalization“ definiert, um sie vor Mi</w:t>
      </w:r>
      <w:r w:rsidR="00B66D8A" w:rsidRPr="00B947A0">
        <w:rPr>
          <w:rFonts w:ascii="Arial" w:hAnsi="Arial" w:cs="Arial"/>
        </w:rPr>
        <w:t>ss</w:t>
      </w:r>
      <w:r w:rsidRPr="00B947A0">
        <w:rPr>
          <w:rFonts w:ascii="Arial" w:hAnsi="Arial" w:cs="Arial"/>
        </w:rPr>
        <w:t>brauch zu schützen. (vgl. Datei „</w:t>
      </w:r>
      <w:r w:rsidR="0098495F" w:rsidRPr="00B947A0">
        <w:rPr>
          <w:rFonts w:ascii="Arial" w:hAnsi="Arial" w:cs="Arial"/>
        </w:rPr>
        <w:t>Selbstbestimmt Leben</w:t>
      </w:r>
      <w:r w:rsidR="00B66D8A" w:rsidRPr="00B947A0">
        <w:rPr>
          <w:rFonts w:ascii="Arial" w:hAnsi="Arial" w:cs="Arial"/>
        </w:rPr>
        <w:t>“)</w:t>
      </w:r>
      <w:r w:rsidRPr="00B947A0">
        <w:rPr>
          <w:rFonts w:ascii="Arial" w:hAnsi="Arial" w:cs="Arial"/>
        </w:rPr>
        <w:t xml:space="preserve"> </w:t>
      </w:r>
    </w:p>
    <w:p w:rsidR="002D21A0" w:rsidRPr="00B947A0" w:rsidRDefault="002D21A0" w:rsidP="00C30FF7">
      <w:pPr>
        <w:spacing w:line="360" w:lineRule="auto"/>
        <w:jc w:val="both"/>
        <w:rPr>
          <w:rFonts w:ascii="Arial" w:hAnsi="Arial" w:cs="Arial"/>
        </w:rPr>
      </w:pPr>
    </w:p>
    <w:sectPr w:rsidR="002D21A0" w:rsidRPr="00B947A0" w:rsidSect="009A1D1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22E2" w:rsidRDefault="004522E2" w:rsidP="00B66D8A">
      <w:pPr>
        <w:spacing w:after="0" w:line="240" w:lineRule="auto"/>
      </w:pPr>
      <w:r>
        <w:separator/>
      </w:r>
    </w:p>
  </w:endnote>
  <w:endnote w:type="continuationSeparator" w:id="0">
    <w:p w:rsidR="004522E2" w:rsidRDefault="004522E2" w:rsidP="00B66D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4AD" w:rsidRDefault="00B664AD">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4AD" w:rsidRDefault="00B664AD" w:rsidP="00B664AD">
    <w:pPr>
      <w:pStyle w:val="Fuzeile"/>
      <w:ind w:right="360"/>
    </w:pPr>
    <w:r>
      <w:rPr>
        <w:noProof/>
        <w:lang w:eastAsia="de-DE"/>
      </w:rPr>
      <w:drawing>
        <wp:inline distT="0" distB="0" distL="0" distR="0">
          <wp:extent cx="2710502" cy="429940"/>
          <wp:effectExtent l="19050" t="0" r="0" b="0"/>
          <wp:docPr id="3" name="Grafik 2" descr="Förderlogo ESF und MAGS N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mplett neu farbig IKSL.jpg"/>
                  <pic:cNvPicPr/>
                </pic:nvPicPr>
                <pic:blipFill>
                  <a:blip r:embed="rId1"/>
                  <a:stretch>
                    <a:fillRect/>
                  </a:stretch>
                </pic:blipFill>
                <pic:spPr>
                  <a:xfrm>
                    <a:off x="0" y="0"/>
                    <a:ext cx="2716832" cy="430944"/>
                  </a:xfrm>
                  <a:prstGeom prst="rect">
                    <a:avLst/>
                  </a:prstGeom>
                </pic:spPr>
              </pic:pic>
            </a:graphicData>
          </a:graphic>
        </wp:inline>
      </w:drawing>
    </w:r>
    <w:r>
      <w:t xml:space="preserve"> </w:t>
    </w:r>
    <w:r>
      <w:rPr>
        <w:noProof/>
        <w:lang w:eastAsia="de-DE"/>
      </w:rPr>
      <w:drawing>
        <wp:inline distT="0" distB="0" distL="0" distR="0">
          <wp:extent cx="2069057" cy="349019"/>
          <wp:effectExtent l="19050" t="0" r="7393" b="0"/>
          <wp:docPr id="4" name="Bild 1" descr="Logo EvH RWL und BOD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anziska Witzmann\Dropbox\AKTIF\BODYS\Logo Evh und Bodys\EVH_Bodys_Logo.png"/>
                  <pic:cNvPicPr>
                    <a:picLocks noChangeAspect="1" noChangeArrowheads="1"/>
                  </pic:cNvPicPr>
                </pic:nvPicPr>
                <pic:blipFill>
                  <a:blip r:embed="rId2"/>
                  <a:srcRect/>
                  <a:stretch>
                    <a:fillRect/>
                  </a:stretch>
                </pic:blipFill>
                <pic:spPr bwMode="auto">
                  <a:xfrm>
                    <a:off x="0" y="0"/>
                    <a:ext cx="2090527" cy="352641"/>
                  </a:xfrm>
                  <a:prstGeom prst="rect">
                    <a:avLst/>
                  </a:prstGeom>
                  <a:noFill/>
                  <a:ln w="9525">
                    <a:noFill/>
                    <a:miter lim="800000"/>
                    <a:headEnd/>
                    <a:tailEnd/>
                  </a:ln>
                </pic:spPr>
              </pic:pic>
            </a:graphicData>
          </a:graphic>
        </wp:inline>
      </w:drawing>
    </w:r>
    <w:r>
      <w:tab/>
    </w:r>
    <w:fldSimple w:instr=" PAGE   \* MERGEFORMAT ">
      <w:r>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4AD" w:rsidRDefault="00B664AD">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22E2" w:rsidRDefault="004522E2" w:rsidP="00B66D8A">
      <w:pPr>
        <w:spacing w:after="0" w:line="240" w:lineRule="auto"/>
      </w:pPr>
      <w:r>
        <w:separator/>
      </w:r>
    </w:p>
  </w:footnote>
  <w:footnote w:type="continuationSeparator" w:id="0">
    <w:p w:rsidR="004522E2" w:rsidRDefault="004522E2" w:rsidP="00B66D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4AD" w:rsidRDefault="00B664AD">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D8A" w:rsidRDefault="00B66D8A" w:rsidP="00B66D8A">
    <w:pPr>
      <w:pStyle w:val="Kopfzeile"/>
    </w:pPr>
    <w:r>
      <w:t>Arbeitsblatt Gruppe 2 zu Artikel 19 BRK</w:t>
    </w:r>
  </w:p>
  <w:p w:rsidR="00B66D8A" w:rsidRDefault="00B66D8A">
    <w:pPr>
      <w:pStyle w:val="Kopfzeil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4AD" w:rsidRDefault="00B664AD">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EA2655"/>
    <w:multiLevelType w:val="hybridMultilevel"/>
    <w:tmpl w:val="82962AAA"/>
    <w:lvl w:ilvl="0" w:tplc="1DEC3860">
      <w:start w:val="1"/>
      <w:numFmt w:val="decimal"/>
      <w:lvlText w:val="%1."/>
      <w:lvlJc w:val="left"/>
      <w:pPr>
        <w:tabs>
          <w:tab w:val="num" w:pos="720"/>
        </w:tabs>
        <w:ind w:left="720" w:hanging="360"/>
      </w:pPr>
    </w:lvl>
    <w:lvl w:ilvl="1" w:tplc="47A4DA16" w:tentative="1">
      <w:start w:val="1"/>
      <w:numFmt w:val="decimal"/>
      <w:lvlText w:val="%2."/>
      <w:lvlJc w:val="left"/>
      <w:pPr>
        <w:tabs>
          <w:tab w:val="num" w:pos="1440"/>
        </w:tabs>
        <w:ind w:left="1440" w:hanging="360"/>
      </w:pPr>
    </w:lvl>
    <w:lvl w:ilvl="2" w:tplc="075EE09E" w:tentative="1">
      <w:start w:val="1"/>
      <w:numFmt w:val="decimal"/>
      <w:lvlText w:val="%3."/>
      <w:lvlJc w:val="left"/>
      <w:pPr>
        <w:tabs>
          <w:tab w:val="num" w:pos="2160"/>
        </w:tabs>
        <w:ind w:left="2160" w:hanging="360"/>
      </w:pPr>
    </w:lvl>
    <w:lvl w:ilvl="3" w:tplc="A4CC9258" w:tentative="1">
      <w:start w:val="1"/>
      <w:numFmt w:val="decimal"/>
      <w:lvlText w:val="%4."/>
      <w:lvlJc w:val="left"/>
      <w:pPr>
        <w:tabs>
          <w:tab w:val="num" w:pos="2880"/>
        </w:tabs>
        <w:ind w:left="2880" w:hanging="360"/>
      </w:pPr>
    </w:lvl>
    <w:lvl w:ilvl="4" w:tplc="CDFE3876" w:tentative="1">
      <w:start w:val="1"/>
      <w:numFmt w:val="decimal"/>
      <w:lvlText w:val="%5."/>
      <w:lvlJc w:val="left"/>
      <w:pPr>
        <w:tabs>
          <w:tab w:val="num" w:pos="3600"/>
        </w:tabs>
        <w:ind w:left="3600" w:hanging="360"/>
      </w:pPr>
    </w:lvl>
    <w:lvl w:ilvl="5" w:tplc="91388238" w:tentative="1">
      <w:start w:val="1"/>
      <w:numFmt w:val="decimal"/>
      <w:lvlText w:val="%6."/>
      <w:lvlJc w:val="left"/>
      <w:pPr>
        <w:tabs>
          <w:tab w:val="num" w:pos="4320"/>
        </w:tabs>
        <w:ind w:left="4320" w:hanging="360"/>
      </w:pPr>
    </w:lvl>
    <w:lvl w:ilvl="6" w:tplc="23A240E6" w:tentative="1">
      <w:start w:val="1"/>
      <w:numFmt w:val="decimal"/>
      <w:lvlText w:val="%7."/>
      <w:lvlJc w:val="left"/>
      <w:pPr>
        <w:tabs>
          <w:tab w:val="num" w:pos="5040"/>
        </w:tabs>
        <w:ind w:left="5040" w:hanging="360"/>
      </w:pPr>
    </w:lvl>
    <w:lvl w:ilvl="7" w:tplc="01743D9A" w:tentative="1">
      <w:start w:val="1"/>
      <w:numFmt w:val="decimal"/>
      <w:lvlText w:val="%8."/>
      <w:lvlJc w:val="left"/>
      <w:pPr>
        <w:tabs>
          <w:tab w:val="num" w:pos="5760"/>
        </w:tabs>
        <w:ind w:left="5760" w:hanging="360"/>
      </w:pPr>
    </w:lvl>
    <w:lvl w:ilvl="8" w:tplc="A7D29376"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footnotePr>
    <w:footnote w:id="-1"/>
    <w:footnote w:id="0"/>
  </w:footnotePr>
  <w:endnotePr>
    <w:endnote w:id="-1"/>
    <w:endnote w:id="0"/>
  </w:endnotePr>
  <w:compat/>
  <w:rsids>
    <w:rsidRoot w:val="002D21A0"/>
    <w:rsid w:val="000D1D5A"/>
    <w:rsid w:val="00116EFA"/>
    <w:rsid w:val="00123B78"/>
    <w:rsid w:val="00133356"/>
    <w:rsid w:val="00180B63"/>
    <w:rsid w:val="0019487D"/>
    <w:rsid w:val="001D1698"/>
    <w:rsid w:val="002D21A0"/>
    <w:rsid w:val="002D7086"/>
    <w:rsid w:val="002F74C3"/>
    <w:rsid w:val="0040408E"/>
    <w:rsid w:val="00440FD3"/>
    <w:rsid w:val="004522E2"/>
    <w:rsid w:val="00466C7A"/>
    <w:rsid w:val="00507132"/>
    <w:rsid w:val="00513C00"/>
    <w:rsid w:val="005663B7"/>
    <w:rsid w:val="00573B78"/>
    <w:rsid w:val="00574417"/>
    <w:rsid w:val="005E0427"/>
    <w:rsid w:val="005E7946"/>
    <w:rsid w:val="006018A4"/>
    <w:rsid w:val="00601DE0"/>
    <w:rsid w:val="0061385F"/>
    <w:rsid w:val="006327E6"/>
    <w:rsid w:val="006601CB"/>
    <w:rsid w:val="00674CAB"/>
    <w:rsid w:val="00677B19"/>
    <w:rsid w:val="006B0371"/>
    <w:rsid w:val="006B3A24"/>
    <w:rsid w:val="006D01DE"/>
    <w:rsid w:val="006D3CBB"/>
    <w:rsid w:val="00750A82"/>
    <w:rsid w:val="0078683E"/>
    <w:rsid w:val="007D739D"/>
    <w:rsid w:val="007E18B3"/>
    <w:rsid w:val="007E6F54"/>
    <w:rsid w:val="008A0857"/>
    <w:rsid w:val="008B7074"/>
    <w:rsid w:val="008E0FF2"/>
    <w:rsid w:val="00901750"/>
    <w:rsid w:val="00915508"/>
    <w:rsid w:val="00924BBD"/>
    <w:rsid w:val="00941A92"/>
    <w:rsid w:val="0098495F"/>
    <w:rsid w:val="009A1D10"/>
    <w:rsid w:val="009D3661"/>
    <w:rsid w:val="00A70F23"/>
    <w:rsid w:val="00A925A9"/>
    <w:rsid w:val="00B21378"/>
    <w:rsid w:val="00B6092D"/>
    <w:rsid w:val="00B664AD"/>
    <w:rsid w:val="00B66D8A"/>
    <w:rsid w:val="00B947A0"/>
    <w:rsid w:val="00BA274D"/>
    <w:rsid w:val="00BC3AFA"/>
    <w:rsid w:val="00BE0F0D"/>
    <w:rsid w:val="00C26281"/>
    <w:rsid w:val="00C30FF7"/>
    <w:rsid w:val="00C6176F"/>
    <w:rsid w:val="00C842C6"/>
    <w:rsid w:val="00D36004"/>
    <w:rsid w:val="00D54710"/>
    <w:rsid w:val="00DC120F"/>
    <w:rsid w:val="00DF7A02"/>
    <w:rsid w:val="00E723FA"/>
    <w:rsid w:val="00F027B6"/>
    <w:rsid w:val="00F102B8"/>
    <w:rsid w:val="00F1798D"/>
    <w:rsid w:val="00F23569"/>
    <w:rsid w:val="00F76876"/>
    <w:rsid w:val="7F8475D9"/>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A1D1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chmalesLeerzeichen">
    <w:name w:val="schmales Leerzeichen"/>
    <w:basedOn w:val="Absatz-Standardschriftart"/>
    <w:uiPriority w:val="1"/>
    <w:qFormat/>
    <w:rsid w:val="00DF7A02"/>
    <w:rPr>
      <w:rFonts w:ascii="Times New Roman" w:hAnsi="Times New Roman" w:cs="Times New Roman"/>
      <w:spacing w:val="-20"/>
    </w:rPr>
  </w:style>
  <w:style w:type="paragraph" w:styleId="Kopfzeile">
    <w:name w:val="header"/>
    <w:basedOn w:val="Standard"/>
    <w:link w:val="KopfzeileZchn"/>
    <w:uiPriority w:val="99"/>
    <w:semiHidden/>
    <w:unhideWhenUsed/>
    <w:rsid w:val="00B66D8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B66D8A"/>
  </w:style>
  <w:style w:type="paragraph" w:styleId="Fuzeile">
    <w:name w:val="footer"/>
    <w:basedOn w:val="Standard"/>
    <w:link w:val="FuzeileZchn"/>
    <w:unhideWhenUsed/>
    <w:rsid w:val="00B66D8A"/>
    <w:pPr>
      <w:tabs>
        <w:tab w:val="center" w:pos="4536"/>
        <w:tab w:val="right" w:pos="9072"/>
      </w:tabs>
      <w:spacing w:after="0" w:line="240" w:lineRule="auto"/>
    </w:pPr>
  </w:style>
  <w:style w:type="character" w:customStyle="1" w:styleId="FuzeileZchn">
    <w:name w:val="Fußzeile Zchn"/>
    <w:basedOn w:val="Absatz-Standardschriftart"/>
    <w:link w:val="Fuzeile"/>
    <w:rsid w:val="00B66D8A"/>
  </w:style>
  <w:style w:type="paragraph" w:styleId="Titel">
    <w:name w:val="Title"/>
    <w:basedOn w:val="Standard"/>
    <w:next w:val="Standard"/>
    <w:link w:val="TitelZchn"/>
    <w:uiPriority w:val="10"/>
    <w:qFormat/>
    <w:rsid w:val="00B66D8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B66D8A"/>
    <w:rPr>
      <w:rFonts w:asciiTheme="majorHAnsi" w:eastAsiaTheme="majorEastAsia" w:hAnsiTheme="majorHAnsi" w:cstheme="majorBidi"/>
      <w:color w:val="17365D" w:themeColor="text2" w:themeShade="BF"/>
      <w:spacing w:val="5"/>
      <w:kern w:val="28"/>
      <w:sz w:val="52"/>
      <w:szCs w:val="52"/>
    </w:rPr>
  </w:style>
  <w:style w:type="paragraph" w:styleId="Kommentartext">
    <w:name w:val="annotation text"/>
    <w:basedOn w:val="Standard"/>
    <w:link w:val="KommentartextZchn"/>
    <w:uiPriority w:val="99"/>
    <w:semiHidden/>
    <w:unhideWhenUsed/>
    <w:rsid w:val="0019487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9487D"/>
    <w:rPr>
      <w:sz w:val="20"/>
      <w:szCs w:val="20"/>
    </w:rPr>
  </w:style>
  <w:style w:type="character" w:styleId="Kommentarzeichen">
    <w:name w:val="annotation reference"/>
    <w:basedOn w:val="Absatz-Standardschriftart"/>
    <w:uiPriority w:val="99"/>
    <w:semiHidden/>
    <w:unhideWhenUsed/>
    <w:rsid w:val="0019487D"/>
    <w:rPr>
      <w:sz w:val="16"/>
      <w:szCs w:val="16"/>
    </w:rPr>
  </w:style>
  <w:style w:type="paragraph" w:styleId="Sprechblasentext">
    <w:name w:val="Balloon Text"/>
    <w:basedOn w:val="Standard"/>
    <w:link w:val="SprechblasentextZchn"/>
    <w:uiPriority w:val="99"/>
    <w:semiHidden/>
    <w:unhideWhenUsed/>
    <w:rsid w:val="00D5471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547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645394">
      <w:bodyDiv w:val="1"/>
      <w:marLeft w:val="0"/>
      <w:marRight w:val="0"/>
      <w:marTop w:val="0"/>
      <w:marBottom w:val="0"/>
      <w:divBdr>
        <w:top w:val="none" w:sz="0" w:space="0" w:color="auto"/>
        <w:left w:val="none" w:sz="0" w:space="0" w:color="auto"/>
        <w:bottom w:val="none" w:sz="0" w:space="0" w:color="auto"/>
        <w:right w:val="none" w:sz="0" w:space="0" w:color="auto"/>
      </w:divBdr>
    </w:div>
    <w:div w:id="495808366">
      <w:bodyDiv w:val="1"/>
      <w:marLeft w:val="0"/>
      <w:marRight w:val="0"/>
      <w:marTop w:val="0"/>
      <w:marBottom w:val="0"/>
      <w:divBdr>
        <w:top w:val="none" w:sz="0" w:space="0" w:color="auto"/>
        <w:left w:val="none" w:sz="0" w:space="0" w:color="auto"/>
        <w:bottom w:val="none" w:sz="0" w:space="0" w:color="auto"/>
        <w:right w:val="none" w:sz="0" w:space="0" w:color="auto"/>
      </w:divBdr>
    </w:div>
    <w:div w:id="677003645">
      <w:bodyDiv w:val="1"/>
      <w:marLeft w:val="0"/>
      <w:marRight w:val="0"/>
      <w:marTop w:val="0"/>
      <w:marBottom w:val="0"/>
      <w:divBdr>
        <w:top w:val="none" w:sz="0" w:space="0" w:color="auto"/>
        <w:left w:val="none" w:sz="0" w:space="0" w:color="auto"/>
        <w:bottom w:val="none" w:sz="0" w:space="0" w:color="auto"/>
        <w:right w:val="none" w:sz="0" w:space="0" w:color="auto"/>
      </w:divBdr>
      <w:divsChild>
        <w:div w:id="1524055477">
          <w:marLeft w:val="360"/>
          <w:marRight w:val="0"/>
          <w:marTop w:val="86"/>
          <w:marBottom w:val="0"/>
          <w:divBdr>
            <w:top w:val="none" w:sz="0" w:space="0" w:color="auto"/>
            <w:left w:val="none" w:sz="0" w:space="0" w:color="auto"/>
            <w:bottom w:val="none" w:sz="0" w:space="0" w:color="auto"/>
            <w:right w:val="none" w:sz="0" w:space="0" w:color="auto"/>
          </w:divBdr>
        </w:div>
        <w:div w:id="1675062220">
          <w:marLeft w:val="360"/>
          <w:marRight w:val="0"/>
          <w:marTop w:val="86"/>
          <w:marBottom w:val="0"/>
          <w:divBdr>
            <w:top w:val="none" w:sz="0" w:space="0" w:color="auto"/>
            <w:left w:val="none" w:sz="0" w:space="0" w:color="auto"/>
            <w:bottom w:val="none" w:sz="0" w:space="0" w:color="auto"/>
            <w:right w:val="none" w:sz="0" w:space="0" w:color="auto"/>
          </w:divBdr>
        </w:div>
        <w:div w:id="648285176">
          <w:marLeft w:val="360"/>
          <w:marRight w:val="0"/>
          <w:marTop w:val="86"/>
          <w:marBottom w:val="0"/>
          <w:divBdr>
            <w:top w:val="none" w:sz="0" w:space="0" w:color="auto"/>
            <w:left w:val="none" w:sz="0" w:space="0" w:color="auto"/>
            <w:bottom w:val="none" w:sz="0" w:space="0" w:color="auto"/>
            <w:right w:val="none" w:sz="0" w:space="0" w:color="auto"/>
          </w:divBdr>
        </w:div>
      </w:divsChild>
    </w:div>
    <w:div w:id="1082677160">
      <w:bodyDiv w:val="1"/>
      <w:marLeft w:val="0"/>
      <w:marRight w:val="0"/>
      <w:marTop w:val="0"/>
      <w:marBottom w:val="0"/>
      <w:divBdr>
        <w:top w:val="none" w:sz="0" w:space="0" w:color="auto"/>
        <w:left w:val="none" w:sz="0" w:space="0" w:color="auto"/>
        <w:bottom w:val="none" w:sz="0" w:space="0" w:color="auto"/>
        <w:right w:val="none" w:sz="0" w:space="0" w:color="auto"/>
      </w:divBdr>
    </w:div>
    <w:div w:id="183456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443</Words>
  <Characters>2795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Franziska Witzmann</dc:creator>
  <cp:lastModifiedBy>Franziska Witzmann</cp:lastModifiedBy>
  <cp:revision>7</cp:revision>
  <dcterms:created xsi:type="dcterms:W3CDTF">2018-02-19T13:53:00Z</dcterms:created>
  <dcterms:modified xsi:type="dcterms:W3CDTF">2018-03-01T10:52:00Z</dcterms:modified>
</cp:coreProperties>
</file>