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143" w:rsidRPr="00E070C4" w:rsidRDefault="2E0DC3B1" w:rsidP="00C27096">
      <w:pPr>
        <w:pStyle w:val="berschrift1"/>
        <w:pBdr>
          <w:bottom w:val="single" w:sz="4" w:space="1" w:color="auto"/>
        </w:pBdr>
        <w:spacing w:line="360" w:lineRule="auto"/>
        <w:rPr>
          <w:rFonts w:ascii="Arial" w:hAnsi="Arial" w:cs="Arial"/>
          <w:color w:val="0070C0"/>
          <w:sz w:val="40"/>
          <w:lang w:val="de-DE"/>
        </w:rPr>
      </w:pPr>
      <w:r w:rsidRPr="00E070C4">
        <w:rPr>
          <w:rFonts w:ascii="Arial" w:hAnsi="Arial" w:cs="Arial"/>
          <w:color w:val="0070C0"/>
          <w:sz w:val="40"/>
          <w:lang w:val="de-DE"/>
        </w:rPr>
        <w:t>Material zu Art. 12 UN-BRK</w:t>
      </w:r>
    </w:p>
    <w:p w:rsidR="008A1A22" w:rsidRPr="00E070C4" w:rsidRDefault="2E0DC3B1" w:rsidP="00C27096">
      <w:pPr>
        <w:pStyle w:val="Untertitel"/>
        <w:spacing w:line="360" w:lineRule="auto"/>
        <w:rPr>
          <w:rFonts w:ascii="Arial" w:hAnsi="Arial" w:cs="Arial"/>
        </w:rPr>
      </w:pPr>
      <w:r w:rsidRPr="00E070C4">
        <w:rPr>
          <w:rFonts w:ascii="Arial" w:hAnsi="Arial" w:cs="Arial"/>
        </w:rPr>
        <w:t>Art. 12 Gleiche Anerkennung vor dem Recht</w:t>
      </w:r>
    </w:p>
    <w:p w:rsidR="008A1A22" w:rsidRPr="00E070C4" w:rsidRDefault="2E0DC3B1" w:rsidP="00C27096">
      <w:pPr>
        <w:spacing w:line="360" w:lineRule="auto"/>
        <w:rPr>
          <w:rFonts w:ascii="Arial" w:hAnsi="Arial" w:cs="Arial"/>
        </w:rPr>
      </w:pPr>
      <w:r w:rsidRPr="00E070C4">
        <w:rPr>
          <w:rFonts w:ascii="Arial" w:hAnsi="Arial" w:cs="Arial"/>
        </w:rPr>
        <w:t xml:space="preserve">1) Die Vertragsstaaten bekräftigen, dass Menschen mit Behinderungen das Recht haben, überall als Rechtssubjekt anerkannt zu werden. </w:t>
      </w:r>
    </w:p>
    <w:p w:rsidR="008A1A22" w:rsidRPr="00E070C4" w:rsidRDefault="2E0DC3B1" w:rsidP="00C27096">
      <w:pPr>
        <w:spacing w:line="360" w:lineRule="auto"/>
        <w:rPr>
          <w:rFonts w:ascii="Arial" w:hAnsi="Arial" w:cs="Arial"/>
        </w:rPr>
      </w:pPr>
      <w:r w:rsidRPr="00E070C4">
        <w:rPr>
          <w:rFonts w:ascii="Arial" w:hAnsi="Arial" w:cs="Arial"/>
        </w:rPr>
        <w:t>(2) Die Vertragsstaaten anerkennen, dass Menschen mit Behinderungen in allen Lebensbereichen gleichberechtigt mit anderen Rechts- und Handl</w:t>
      </w:r>
      <w:bookmarkStart w:id="0" w:name="_GoBack"/>
      <w:bookmarkEnd w:id="0"/>
      <w:r w:rsidRPr="00E070C4">
        <w:rPr>
          <w:rFonts w:ascii="Arial" w:hAnsi="Arial" w:cs="Arial"/>
        </w:rPr>
        <w:t xml:space="preserve">ungsfähigkeit genießen. </w:t>
      </w:r>
    </w:p>
    <w:p w:rsidR="008A1A22" w:rsidRPr="00E070C4" w:rsidRDefault="2E0DC3B1" w:rsidP="00C27096">
      <w:pPr>
        <w:spacing w:line="360" w:lineRule="auto"/>
        <w:rPr>
          <w:rFonts w:ascii="Arial" w:hAnsi="Arial" w:cs="Arial"/>
        </w:rPr>
      </w:pPr>
      <w:r w:rsidRPr="00E070C4">
        <w:rPr>
          <w:rFonts w:ascii="Arial" w:hAnsi="Arial" w:cs="Arial"/>
        </w:rPr>
        <w:t xml:space="preserve">(3) Die Vertragsstaaten treffen geeignete Maßnahmen, um Menschen mit Behinderungen Zugang zu der Unterstützung zu verschaffen, die sie bei der Ausübung ihrer Rechts- und Handlungsfähigkeit gegebenenfalls benötigen. </w:t>
      </w:r>
    </w:p>
    <w:p w:rsidR="008A1A22" w:rsidRPr="00E070C4" w:rsidRDefault="2E0DC3B1" w:rsidP="00C27096">
      <w:pPr>
        <w:spacing w:line="360" w:lineRule="auto"/>
        <w:rPr>
          <w:rFonts w:ascii="Arial" w:hAnsi="Arial" w:cs="Arial"/>
        </w:rPr>
      </w:pPr>
      <w:r w:rsidRPr="00E070C4">
        <w:rPr>
          <w:rFonts w:ascii="Arial" w:hAnsi="Arial" w:cs="Arial"/>
        </w:rPr>
        <w:t>(4) Die Vertragsstaaten stellen sicher, dass zu allen die Ausübung der Rechts- und Handlungsfähigkeit betreffenden Maßnahmen im Einklang mit den internationalen Menschenrechtsnormen geeignete und wirksame Sicherungen vorgesehen werden, um Missbräuche zu verhindern. Diese Sicherungen müssen gewährleisten, dass bei den Maßnahmen betreffend die Ausübung der Rechts- und Handlungsfähigkeit die Rechte, der Wille und die Präferenzen der betreffenden Person geachtet werden, es nicht zu Interessenkonflikten und missbräuchlicher Einflussnahme kommt, dass die Maßnahmen verhältnismäßig und auf die Umstände der Person zugeschnitten sind, dass sie von möglichst kurzer Dauer sind und dass sie einer regelmäßigen Überprüfung durch eine zuständige, unabhängige und unparteiische Behörde oder gerichtliche Stelle unterliegen. Die Sicherungen müssen im Hinblick auf das Ausmaß, in dem diese Maßnahmen die Rechte und Interessen der Person berühren, verhältnismäßig sein.  (…)</w:t>
      </w:r>
    </w:p>
    <w:p w:rsidR="000616C2" w:rsidRPr="00E070C4" w:rsidRDefault="2E0DC3B1" w:rsidP="00C27096">
      <w:pPr>
        <w:spacing w:line="360" w:lineRule="auto"/>
        <w:rPr>
          <w:rFonts w:ascii="Arial" w:hAnsi="Arial" w:cs="Arial"/>
          <w:b/>
          <w:bCs/>
        </w:rPr>
      </w:pPr>
      <w:r w:rsidRPr="00E070C4">
        <w:rPr>
          <w:rFonts w:ascii="Arial" w:hAnsi="Arial" w:cs="Arial"/>
          <w:b/>
          <w:bCs/>
        </w:rPr>
        <w:t>Der BRK-Ausschuss zu Art. 12: Allgemeine Bemerkungen Nr. 1 zu Art. 12 UN-BRK</w:t>
      </w:r>
    </w:p>
    <w:p w:rsidR="000616C2" w:rsidRPr="00E070C4" w:rsidRDefault="2E0DC3B1" w:rsidP="00C27096">
      <w:pPr>
        <w:spacing w:line="360" w:lineRule="auto"/>
        <w:rPr>
          <w:rFonts w:ascii="Arial" w:hAnsi="Arial" w:cs="Arial"/>
        </w:rPr>
      </w:pPr>
      <w:r w:rsidRPr="00E070C4">
        <w:rPr>
          <w:rFonts w:ascii="Arial" w:hAnsi="Arial" w:cs="Arial"/>
        </w:rPr>
        <w:t xml:space="preserve">13. Rechtliche Handlungsfähigkeit und geistige Fähigkeit sind unterschiedliche Konzepte. Rechtliche Handlungsfähigkeit ist sowohl die Fähigkeit, Inhaber von Rechten und Pflichten zu sein (Rechtsfähigkeit) als auch diese Rechte und Pflichten auszuüben (Handlungsfähigkeit im Recht). Sie ist der Schlüssel für den Zugang zu einer wirksamen Partizipation an der Gesellschaft. Geistige Fähigkeit bezieht sich auf die Fähigkeit einer Person, Entscheidungen zu treffen; diese Fähigkeit ist naturgemäß von Person zu Person verschieden und kann auch  beim einzelnen Menschen variieren, abhängig von vielen Faktoren, einschließlich umweltbedingter und sozialer Faktoren. In der Vergangenheit sind Rechtsinstrumente wie die Allgemeine Erklärung der Menschenrechte (Artikel 6), der Internationale Pakt über bürgerliche und politische Rechte (Artikel 16) und das </w:t>
      </w:r>
      <w:r w:rsidRPr="00E070C4">
        <w:rPr>
          <w:rFonts w:ascii="Arial" w:hAnsi="Arial" w:cs="Arial"/>
        </w:rPr>
        <w:lastRenderedPageBreak/>
        <w:t>Übereinkommen zur Beseitigung jeder Form von Diskriminierung der Frau (Artikel 15) auf den Unterschied zwischen geistiger Fähigkeit und rechtlicher Handlungsfähigkeit nicht näher eingegangen. Das Übereinkommen über die Rechte von Menschen mit Behinderungen (Artikel 12) stellt jetzt klar, dass „Geistesgestörtheit“ und andere diskriminierende Bezeichnungen kein legitimer Grund für die Versagung der rechtlichen Handlungsfähigkeit (rechtliche Rolle und Rechtsstellung im Verfahren) sind. Nach Artikel 12 sind wahrgenommene oder tatsächliche Defizite in der geistigen Fähigkeit keine Rechtfertigung für die Versagung der rechtlichen Handlungsfähigkeit.</w:t>
      </w:r>
    </w:p>
    <w:p w:rsidR="00FF5132" w:rsidRPr="00E070C4" w:rsidRDefault="2E0DC3B1" w:rsidP="00C27096">
      <w:pPr>
        <w:spacing w:line="360" w:lineRule="auto"/>
        <w:rPr>
          <w:rFonts w:ascii="Arial" w:hAnsi="Arial" w:cs="Arial"/>
        </w:rPr>
      </w:pPr>
      <w:r w:rsidRPr="00E070C4">
        <w:rPr>
          <w:rFonts w:ascii="Arial" w:hAnsi="Arial" w:cs="Arial"/>
        </w:rPr>
        <w:t>(...)</w:t>
      </w:r>
    </w:p>
    <w:p w:rsidR="00FF5132" w:rsidRPr="00E070C4" w:rsidRDefault="2E0DC3B1" w:rsidP="00C27096">
      <w:pPr>
        <w:spacing w:line="360" w:lineRule="auto"/>
        <w:rPr>
          <w:rFonts w:ascii="Arial" w:hAnsi="Arial" w:cs="Arial"/>
        </w:rPr>
      </w:pPr>
      <w:r w:rsidRPr="00E070C4">
        <w:rPr>
          <w:rFonts w:ascii="Arial" w:hAnsi="Arial" w:cs="Arial"/>
        </w:rPr>
        <w:t xml:space="preserve">16. Artikel 12 Absatz 3 besagt, dass die Vertragsstaaten die Verpflichtung haben, Menschen mit Behinderungen Zugang zu Unterstützung zur Ausübung ihrer rechtlichen Handlungsfähigkeit zu verschaffen. Die Vertragsstaaten müssen es unterlassen, Menschen mit Behinderungen rechtliche Handlungsfähigkeit zu versagen, und diesen Menschen stattdessen Zugang zu der notwendigen Unterstützung verschaffen, die sie in die Lage versetzt, rechtswirksame Entscheidungen zu treffen. </w:t>
      </w:r>
    </w:p>
    <w:p w:rsidR="00FF5132" w:rsidRPr="00E070C4" w:rsidRDefault="2E0DC3B1" w:rsidP="00C27096">
      <w:pPr>
        <w:spacing w:line="360" w:lineRule="auto"/>
        <w:rPr>
          <w:rFonts w:ascii="Arial" w:hAnsi="Arial" w:cs="Arial"/>
        </w:rPr>
      </w:pPr>
      <w:r w:rsidRPr="00E070C4">
        <w:rPr>
          <w:rFonts w:ascii="Arial" w:hAnsi="Arial" w:cs="Arial"/>
        </w:rPr>
        <w:t xml:space="preserve">17. Die Unterstützung zur Ausübung der rechtlichen Handlungsfähigkeit muss die Rechte, den Willen und die Präferenzen von Menschen mit Behinderungen achten und sollte nie auf eine ersetzte Entscheidungsfindung hinauslaufen. Artikel 12 Absatz 3 legt die Form einer solchen Unterstützung nicht fest. "Unterstützung" ist ein weit gefasster Begriff, der sowohl informelle als auch formelle Arrangements zur Unterstützung in unterschiedlicher Art und Intensität umfasst. Zum Beispiel können Menschen mit Behinderungen eine oder mehrere Vertrauenspersonen auswählen, die ihnen bei der Ausübung ihrer rechtlichen Handlungsfähigkeit für bestimmte Arten von Entscheidungen zur Seite stehen, oder auf andere Formen der Unterstützung zurückgreifen, wie zum Beispiel Peer-Support, Interessenvertretung (einschließlich Unterstützung bei der Selbstvertretung) oder Kommunikationsassistenz. Unterstützung für Menschen mit Behinderungen bei der Ausübung ihrer rechtlichen Handlungsfähigkeit könnte Maßnahmen in Bezug auf universelles Design und Zugänglichkeit umfassen - wie zum Beispiel die Anforderung an private und öffentliche Akteure wie Banken und Finanzinstitutionen, verständliche Informationen oder professionelle Gebärdensprachdolmetschung bereitzustellen - um Menschen mit Behinderungen zu ermöglichen, die für die Eröffnung eines Bankkontos, den Abschluss eines Vertrags oder sonstige soziale Transaktionen erforderlichen Rechtshandlungen vorzunehmen. Unterstützung kann auch die Entwicklung und Anerkennung verschiedener nicht-konventioneller Kommunikationsmethoden bedeuten, insbesondere für diejenigen, die nonverbale Formen der Kommunikation nutzen, um ihren </w:t>
      </w:r>
      <w:r w:rsidRPr="00E070C4">
        <w:rPr>
          <w:rFonts w:ascii="Arial" w:hAnsi="Arial" w:cs="Arial"/>
        </w:rPr>
        <w:lastRenderedPageBreak/>
        <w:t xml:space="preserve">Willen und ihre Präferenzen zum Ausdruck zu bringen. Für viele Menschen mit Behinderungen ist die Möglichkeit der Vorausplanung eine wichtige Form der Unterstützung, weil sie so ihren Willen und ihre Präferenzen darlegen können, denen entsprochen werden soll, wenn sie eventuell nicht in der Lage sind, anderen ihre Wünsche mitzuteilen. Alle Menschen mit Behinderungen haben das Recht, Vorsorge zu treffen, und ihnen sollte die Möglichkeit gegeben werden, dies gleichberechtigt mit anderen zu tun. Die Vertragsstaaten können eine Auswahl an Vorsorgeverfahren unterschiedlicher Form anbieten, die den verschiedenen Präferenzen entsprechen, aber alle Möglichkeiten sollten nicht diskriminierend sein. Wenn gewünscht sollte Unterstützung der einzelnen Person gewährt werden, um den Prozess der Vorsorgeplanung abzuschließen. Der Punkt, an dem eine Vorsorgeverfügung wirksam wird (und endet), sollte von dem Betreffenden in dem Text der Verfügung festgelegt werden und sollte sich nicht auf eine Beurteilung stützen, wonach dem Betreffenden die geistige Fähigkeit fehlt. </w:t>
      </w:r>
    </w:p>
    <w:p w:rsidR="00FF5132" w:rsidRPr="00E070C4" w:rsidRDefault="2E0DC3B1" w:rsidP="00C27096">
      <w:pPr>
        <w:spacing w:line="360" w:lineRule="auto"/>
        <w:rPr>
          <w:rFonts w:ascii="Arial" w:hAnsi="Arial" w:cs="Arial"/>
          <w:i/>
          <w:iCs/>
          <w:sz w:val="20"/>
          <w:szCs w:val="20"/>
        </w:rPr>
      </w:pPr>
      <w:r w:rsidRPr="00E070C4">
        <w:rPr>
          <w:rFonts w:ascii="Arial" w:hAnsi="Arial" w:cs="Arial"/>
          <w:i/>
          <w:iCs/>
          <w:sz w:val="20"/>
          <w:szCs w:val="20"/>
        </w:rPr>
        <w:t xml:space="preserve">Deutsche Übersetzung des Deutschen Instituts für Menschenrechte (Monitoring-Stelle zur UN-BRK); Quelle: Information der Monitoring-Stelle UN-BRK zur Allgemeinen Bemerkung Nr. 1 des UN-Fachausschusses für die Rechte von Menschen mit Behinderungen; Artikel 12: Gleiche Anerkennung vor dem Recht, online verfügbar: </w:t>
      </w:r>
      <w:hyperlink r:id="rId8">
        <w:r w:rsidRPr="00E070C4">
          <w:rPr>
            <w:rFonts w:ascii="Arial" w:hAnsi="Arial" w:cs="Arial"/>
            <w:i/>
            <w:iCs/>
            <w:sz w:val="20"/>
            <w:szCs w:val="20"/>
          </w:rPr>
          <w:t>www.institut-fuer-menschenrechte.de</w:t>
        </w:r>
      </w:hyperlink>
      <w:r w:rsidRPr="00E070C4">
        <w:rPr>
          <w:rFonts w:ascii="Arial" w:hAnsi="Arial" w:cs="Arial"/>
          <w:i/>
          <w:iCs/>
          <w:sz w:val="20"/>
          <w:szCs w:val="20"/>
        </w:rPr>
        <w:t xml:space="preserve"> &gt; Monitoring-Stelle UN-BRK &gt; zentrale Dokumente und Links; http://www.institut-fuer-menschenrechte.de/fileadmin/user_upload/Publikationen/Weitere_Publikationen/Informationen_zu_General_Comment_Nr_1_MSt_2015.pdf </w:t>
      </w:r>
    </w:p>
    <w:p w:rsidR="00C37143" w:rsidRPr="00E070C4" w:rsidRDefault="00C37143" w:rsidP="00C27096">
      <w:pPr>
        <w:spacing w:line="360" w:lineRule="auto"/>
        <w:rPr>
          <w:rFonts w:ascii="Arial" w:hAnsi="Arial" w:cs="Arial"/>
          <w:b/>
          <w:bCs/>
        </w:rPr>
      </w:pPr>
    </w:p>
    <w:p w:rsidR="00D606D4" w:rsidRPr="00E070C4" w:rsidRDefault="2E0DC3B1" w:rsidP="00C27096">
      <w:pPr>
        <w:spacing w:line="360" w:lineRule="auto"/>
        <w:rPr>
          <w:rFonts w:ascii="Arial" w:hAnsi="Arial" w:cs="Arial"/>
          <w:b/>
          <w:bCs/>
        </w:rPr>
      </w:pPr>
      <w:r w:rsidRPr="00E070C4">
        <w:rPr>
          <w:rFonts w:ascii="Arial" w:hAnsi="Arial" w:cs="Arial"/>
          <w:b/>
          <w:bCs/>
        </w:rPr>
        <w:t>Der BRK-Ausschuss zu Art. 12: Abschließende Bemerkungen über den ersten Staatenbericht Deutschlands</w:t>
      </w:r>
    </w:p>
    <w:p w:rsidR="00D606D4" w:rsidRPr="00E070C4" w:rsidRDefault="2E0DC3B1" w:rsidP="00C27096">
      <w:pPr>
        <w:spacing w:line="360" w:lineRule="auto"/>
        <w:rPr>
          <w:rFonts w:ascii="Arial" w:hAnsi="Arial" w:cs="Arial"/>
        </w:rPr>
      </w:pPr>
      <w:r w:rsidRPr="00E070C4">
        <w:rPr>
          <w:rFonts w:ascii="Arial" w:hAnsi="Arial" w:cs="Arial"/>
        </w:rPr>
        <w:t xml:space="preserve">25. Der Ausschuss ist besorgt über die Unvereinbarkeit des im deutschen Bürgerlichen Gesetzbuch (BGB) festgelegten und geregelten Instruments der rechtlichen Betreuung mit dem Übereinkommen. </w:t>
      </w:r>
    </w:p>
    <w:p w:rsidR="00D606D4" w:rsidRPr="00E070C4" w:rsidRDefault="2E0DC3B1" w:rsidP="00C27096">
      <w:pPr>
        <w:spacing w:line="360" w:lineRule="auto"/>
        <w:rPr>
          <w:rFonts w:ascii="Arial" w:hAnsi="Arial" w:cs="Arial"/>
        </w:rPr>
      </w:pPr>
      <w:r w:rsidRPr="00E070C4">
        <w:rPr>
          <w:rFonts w:ascii="Arial" w:hAnsi="Arial" w:cs="Arial"/>
        </w:rPr>
        <w:t xml:space="preserve">26. Der Ausschuss empfiehlt dem Vertragsstaat, </w:t>
      </w:r>
    </w:p>
    <w:p w:rsidR="00D606D4" w:rsidRPr="00E070C4" w:rsidRDefault="2E0DC3B1" w:rsidP="00C27096">
      <w:pPr>
        <w:spacing w:line="360" w:lineRule="auto"/>
        <w:rPr>
          <w:rFonts w:ascii="Arial" w:hAnsi="Arial" w:cs="Arial"/>
        </w:rPr>
      </w:pPr>
      <w:r w:rsidRPr="00E070C4">
        <w:rPr>
          <w:rFonts w:ascii="Arial" w:hAnsi="Arial" w:cs="Arial"/>
        </w:rPr>
        <w:t xml:space="preserve">(a) in Anbetracht der Allgemeinen Bemerkung Nr. 1 (2014) des Ausschusses alle Formen der ersetzenden Entscheidung abzuschaffen und ein System der unterstützten Entscheidung an ihre Stelle treten zu lassen </w:t>
      </w:r>
    </w:p>
    <w:p w:rsidR="00D606D4" w:rsidRPr="00E070C4" w:rsidRDefault="2E0DC3B1" w:rsidP="00C27096">
      <w:pPr>
        <w:spacing w:line="360" w:lineRule="auto"/>
        <w:rPr>
          <w:rFonts w:ascii="Arial" w:hAnsi="Arial" w:cs="Arial"/>
        </w:rPr>
      </w:pPr>
      <w:r w:rsidRPr="00E070C4">
        <w:rPr>
          <w:rFonts w:ascii="Arial" w:hAnsi="Arial" w:cs="Arial"/>
        </w:rPr>
        <w:t xml:space="preserve">(b) professionelle Qualitätsstandards für Mechanismen der unterstützten Entscheidung zu entwickeln; </w:t>
      </w:r>
    </w:p>
    <w:p w:rsidR="00D606D4" w:rsidRPr="00E070C4" w:rsidRDefault="2E0DC3B1" w:rsidP="00C27096">
      <w:pPr>
        <w:spacing w:line="360" w:lineRule="auto"/>
        <w:rPr>
          <w:rFonts w:ascii="Arial" w:hAnsi="Arial" w:cs="Arial"/>
        </w:rPr>
      </w:pPr>
      <w:r w:rsidRPr="00E070C4">
        <w:rPr>
          <w:rFonts w:ascii="Arial" w:hAnsi="Arial" w:cs="Arial"/>
        </w:rPr>
        <w:lastRenderedPageBreak/>
        <w:t xml:space="preserve">(c) in enger Zusammenarbeit mit Menschen mit Behinderungen auf Bundes-, Länder- und Kommunalebene für alle Akteure, einschließlich öffentliche Bedienstete, Richter, Sozialarbeiter, Fachkräfte im Gesundheits- und Sozialbereich, und für die Gesellschaft im weiteren Sinne Schulungen zu Artikel 12 des Übereinkommens anzubieten, die der Allgemeinen Bemerkung Nr. 1 entsprechen. </w:t>
      </w:r>
    </w:p>
    <w:p w:rsidR="00D400DC" w:rsidRPr="00E070C4" w:rsidRDefault="2E0DC3B1" w:rsidP="00C27096">
      <w:pPr>
        <w:spacing w:line="360" w:lineRule="auto"/>
        <w:rPr>
          <w:rFonts w:ascii="Arial" w:hAnsi="Arial" w:cs="Arial"/>
          <w:i/>
          <w:iCs/>
        </w:rPr>
      </w:pPr>
      <w:r w:rsidRPr="00E070C4">
        <w:rPr>
          <w:rFonts w:ascii="Arial" w:hAnsi="Arial" w:cs="Arial"/>
          <w:i/>
          <w:iCs/>
        </w:rPr>
        <w:t>Ausschuss für die Rechte von Menschen mit Behinderungen (2015): Abschließende Bemerkungen über den ersten Staatenbericht Deutschlands, CRPD/C/DEU/CO/1, 17. April 2015; Deutsche Übersetzung der Monitoring-Stelle zur UN-BRK</w:t>
      </w:r>
    </w:p>
    <w:p w:rsidR="00655490" w:rsidRPr="00E070C4" w:rsidRDefault="00655490" w:rsidP="00C27096">
      <w:pPr>
        <w:pStyle w:val="berschrift1"/>
        <w:pBdr>
          <w:bottom w:val="single" w:sz="4" w:space="1" w:color="auto"/>
        </w:pBdr>
        <w:spacing w:line="360" w:lineRule="auto"/>
        <w:rPr>
          <w:rFonts w:ascii="Arial" w:hAnsi="Arial" w:cs="Arial"/>
          <w:color w:val="0070C0"/>
          <w:sz w:val="40"/>
          <w:lang w:val="de-DE"/>
        </w:rPr>
      </w:pPr>
      <w:r w:rsidRPr="00E070C4">
        <w:rPr>
          <w:rFonts w:ascii="Arial" w:hAnsi="Arial" w:cs="Arial"/>
          <w:color w:val="0070C0"/>
          <w:sz w:val="40"/>
          <w:lang w:val="de-DE"/>
        </w:rPr>
        <w:br w:type="page"/>
      </w:r>
    </w:p>
    <w:p w:rsidR="008A1A22" w:rsidRPr="00E070C4" w:rsidRDefault="2E0DC3B1" w:rsidP="00C27096">
      <w:pPr>
        <w:pStyle w:val="berschrift1"/>
        <w:pBdr>
          <w:bottom w:val="single" w:sz="4" w:space="1" w:color="auto"/>
        </w:pBdr>
        <w:spacing w:line="360" w:lineRule="auto"/>
        <w:rPr>
          <w:rFonts w:ascii="Arial" w:hAnsi="Arial" w:cs="Arial"/>
          <w:color w:val="0070C0"/>
          <w:sz w:val="40"/>
          <w:lang w:val="de-DE"/>
        </w:rPr>
      </w:pPr>
      <w:r w:rsidRPr="00E070C4">
        <w:rPr>
          <w:rFonts w:ascii="Arial" w:hAnsi="Arial" w:cs="Arial"/>
          <w:color w:val="0070C0"/>
          <w:sz w:val="40"/>
          <w:lang w:val="de-DE"/>
        </w:rPr>
        <w:lastRenderedPageBreak/>
        <w:t xml:space="preserve">Fragen für die Gruppe: </w:t>
      </w:r>
    </w:p>
    <w:p w:rsidR="00AF77E5" w:rsidRPr="00E070C4" w:rsidRDefault="2E0DC3B1" w:rsidP="00C27096">
      <w:pPr>
        <w:numPr>
          <w:ilvl w:val="0"/>
          <w:numId w:val="1"/>
        </w:numPr>
        <w:spacing w:line="360" w:lineRule="auto"/>
        <w:rPr>
          <w:rFonts w:ascii="Arial" w:hAnsi="Arial" w:cs="Arial"/>
        </w:rPr>
      </w:pPr>
      <w:r w:rsidRPr="00E070C4">
        <w:rPr>
          <w:rFonts w:ascii="Arial" w:hAnsi="Arial" w:cs="Arial"/>
        </w:rPr>
        <w:t>Was ist der Unterschied zwischen Rechts- und Handlungsfähigkeit?</w:t>
      </w:r>
    </w:p>
    <w:p w:rsidR="00AF77E5" w:rsidRPr="00E070C4" w:rsidRDefault="2E0DC3B1" w:rsidP="00C27096">
      <w:pPr>
        <w:numPr>
          <w:ilvl w:val="0"/>
          <w:numId w:val="1"/>
        </w:numPr>
        <w:spacing w:line="360" w:lineRule="auto"/>
        <w:rPr>
          <w:rFonts w:ascii="Arial" w:hAnsi="Arial" w:cs="Arial"/>
        </w:rPr>
      </w:pPr>
      <w:r w:rsidRPr="00E070C4">
        <w:rPr>
          <w:rFonts w:ascii="Arial" w:hAnsi="Arial" w:cs="Arial"/>
        </w:rPr>
        <w:t>Was ist der Unterschied zwischen Stellvertretung und unterstützende Entscheidungsfindung?</w:t>
      </w:r>
    </w:p>
    <w:p w:rsidR="00AF77E5" w:rsidRPr="00E070C4" w:rsidRDefault="2E0DC3B1" w:rsidP="00C27096">
      <w:pPr>
        <w:numPr>
          <w:ilvl w:val="0"/>
          <w:numId w:val="1"/>
        </w:numPr>
        <w:spacing w:line="360" w:lineRule="auto"/>
        <w:rPr>
          <w:rFonts w:ascii="Arial" w:hAnsi="Arial" w:cs="Arial"/>
        </w:rPr>
      </w:pPr>
      <w:r w:rsidRPr="00E070C4">
        <w:rPr>
          <w:rFonts w:ascii="Arial" w:hAnsi="Arial" w:cs="Arial"/>
        </w:rPr>
        <w:t>Kann es nach dieser Norm geschäftsunfähige behinderte Personen geben?</w:t>
      </w:r>
    </w:p>
    <w:p w:rsidR="005D19F5" w:rsidRPr="00E070C4" w:rsidRDefault="005D19F5" w:rsidP="00C27096">
      <w:pPr>
        <w:spacing w:line="360" w:lineRule="auto"/>
        <w:rPr>
          <w:rFonts w:ascii="Arial" w:hAnsi="Arial" w:cs="Arial"/>
        </w:rPr>
      </w:pPr>
    </w:p>
    <w:p w:rsidR="005D19F5" w:rsidRPr="00E070C4" w:rsidRDefault="2E0DC3B1" w:rsidP="00C27096">
      <w:pPr>
        <w:spacing w:after="0" w:line="360" w:lineRule="auto"/>
        <w:rPr>
          <w:rFonts w:ascii="Arial" w:hAnsi="Arial" w:cs="Arial"/>
          <w:b/>
          <w:bCs/>
        </w:rPr>
      </w:pPr>
      <w:r w:rsidRPr="00E070C4">
        <w:rPr>
          <w:rFonts w:ascii="Arial" w:hAnsi="Arial" w:cs="Arial"/>
          <w:b/>
          <w:bCs/>
        </w:rPr>
        <w:t>Hinweis zu Frage 1:</w:t>
      </w:r>
    </w:p>
    <w:p w:rsidR="005D19F5" w:rsidRPr="00E070C4" w:rsidRDefault="2E0DC3B1" w:rsidP="00C27096">
      <w:pPr>
        <w:spacing w:line="360" w:lineRule="auto"/>
        <w:rPr>
          <w:rFonts w:ascii="Arial" w:hAnsi="Arial" w:cs="Arial"/>
        </w:rPr>
      </w:pPr>
      <w:r w:rsidRPr="00E070C4">
        <w:rPr>
          <w:rFonts w:ascii="Arial" w:hAnsi="Arial" w:cs="Arial"/>
        </w:rPr>
        <w:t>Rechtsfähigkeit ist die Fähigkeit Inhaber von Rechten und Pflichten zu sein, also z. B. zu erben, verklagt zu werden oder eine Staatsangehörigkeit zu haben. Rechtliche Handlungsfähigkeit bedeutet, eigenständig rechtlich verbindlich zu handeln bzw. für ein Handeln einzustehen, also z. B. Verträge zu schließen, Schadensersatz zahlen zu müssen, eine Ehe einzugehen, zu wählen, selber zu klagen u.a.</w:t>
      </w:r>
    </w:p>
    <w:p w:rsidR="556ABD5C" w:rsidRPr="00E070C4" w:rsidRDefault="556ABD5C" w:rsidP="00C27096">
      <w:pPr>
        <w:spacing w:line="360" w:lineRule="auto"/>
        <w:rPr>
          <w:rFonts w:ascii="Arial" w:hAnsi="Arial" w:cs="Arial"/>
        </w:rPr>
      </w:pPr>
      <w:r w:rsidRPr="00E070C4">
        <w:rPr>
          <w:rFonts w:ascii="Arial" w:hAnsi="Arial" w:cs="Arial"/>
        </w:rPr>
        <w:br w:type="page"/>
      </w:r>
    </w:p>
    <w:p w:rsidR="003F7EC3" w:rsidRPr="00E070C4" w:rsidRDefault="2E0DC3B1" w:rsidP="00C27096">
      <w:pPr>
        <w:pStyle w:val="berschrift1"/>
        <w:pBdr>
          <w:bottom w:val="single" w:sz="4" w:space="1" w:color="auto"/>
        </w:pBdr>
        <w:spacing w:line="360" w:lineRule="auto"/>
        <w:rPr>
          <w:rFonts w:ascii="Arial" w:hAnsi="Arial" w:cs="Arial"/>
          <w:color w:val="0070C0"/>
          <w:sz w:val="40"/>
          <w:lang w:val="de-DE"/>
        </w:rPr>
      </w:pPr>
      <w:r w:rsidRPr="00E070C4">
        <w:rPr>
          <w:rFonts w:ascii="Arial" w:hAnsi="Arial" w:cs="Arial"/>
          <w:color w:val="0070C0"/>
          <w:sz w:val="40"/>
          <w:lang w:val="de-DE"/>
        </w:rPr>
        <w:lastRenderedPageBreak/>
        <w:t>Material zu Art. 14 UN-BRK</w:t>
      </w:r>
    </w:p>
    <w:p w:rsidR="00C37143" w:rsidRPr="00E070C4" w:rsidRDefault="00C37143" w:rsidP="00C27096">
      <w:pPr>
        <w:spacing w:line="360" w:lineRule="auto"/>
        <w:rPr>
          <w:rFonts w:ascii="Arial" w:hAnsi="Arial" w:cs="Arial"/>
          <w:b/>
          <w:bCs/>
        </w:rPr>
      </w:pPr>
    </w:p>
    <w:p w:rsidR="00045EFA" w:rsidRPr="00E070C4" w:rsidRDefault="2E0DC3B1" w:rsidP="00C27096">
      <w:pPr>
        <w:spacing w:line="360" w:lineRule="auto"/>
        <w:rPr>
          <w:rFonts w:ascii="Arial" w:hAnsi="Arial" w:cs="Arial"/>
          <w:b/>
          <w:bCs/>
        </w:rPr>
      </w:pPr>
      <w:r w:rsidRPr="00E070C4">
        <w:rPr>
          <w:rFonts w:ascii="Arial" w:hAnsi="Arial" w:cs="Arial"/>
          <w:b/>
          <w:bCs/>
        </w:rPr>
        <w:t>Art. 14 Freiheit und Sicherheit der Person</w:t>
      </w:r>
    </w:p>
    <w:p w:rsidR="00045EFA" w:rsidRPr="00E070C4" w:rsidRDefault="2E0DC3B1" w:rsidP="00C27096">
      <w:pPr>
        <w:spacing w:line="360" w:lineRule="auto"/>
        <w:rPr>
          <w:rFonts w:ascii="Arial" w:hAnsi="Arial" w:cs="Arial"/>
        </w:rPr>
      </w:pPr>
      <w:r w:rsidRPr="00E070C4">
        <w:rPr>
          <w:rFonts w:ascii="Arial" w:hAnsi="Arial" w:cs="Arial"/>
        </w:rPr>
        <w:t xml:space="preserve">(1) Die Vertragsstaaten gewährleisten, </w:t>
      </w:r>
    </w:p>
    <w:p w:rsidR="00045EFA" w:rsidRPr="00E070C4" w:rsidRDefault="2E0DC3B1" w:rsidP="00C27096">
      <w:pPr>
        <w:spacing w:line="360" w:lineRule="auto"/>
        <w:rPr>
          <w:rFonts w:ascii="Arial" w:hAnsi="Arial" w:cs="Arial"/>
        </w:rPr>
      </w:pPr>
      <w:r w:rsidRPr="00E070C4">
        <w:rPr>
          <w:rFonts w:ascii="Arial" w:hAnsi="Arial" w:cs="Arial"/>
          <w:i/>
          <w:iCs/>
        </w:rPr>
        <w:t>a</w:t>
      </w:r>
      <w:r w:rsidRPr="00E070C4">
        <w:rPr>
          <w:rFonts w:ascii="Arial" w:hAnsi="Arial" w:cs="Arial"/>
        </w:rPr>
        <w:t xml:space="preserve">) dass Menschen mit Behinderungen gleichberechtigt mit anderen das Recht auf persönliche Freiheit und Sicherheit ihrer Person genießen; </w:t>
      </w:r>
    </w:p>
    <w:p w:rsidR="00045EFA" w:rsidRPr="00E070C4" w:rsidRDefault="2E0DC3B1" w:rsidP="00C27096">
      <w:pPr>
        <w:spacing w:line="360" w:lineRule="auto"/>
        <w:rPr>
          <w:rFonts w:ascii="Arial" w:hAnsi="Arial" w:cs="Arial"/>
        </w:rPr>
      </w:pPr>
      <w:r w:rsidRPr="00E070C4">
        <w:rPr>
          <w:rFonts w:ascii="Arial" w:hAnsi="Arial" w:cs="Arial"/>
          <w:i/>
          <w:iCs/>
        </w:rPr>
        <w:t>b</w:t>
      </w:r>
      <w:r w:rsidRPr="00E070C4">
        <w:rPr>
          <w:rFonts w:ascii="Arial" w:hAnsi="Arial" w:cs="Arial"/>
        </w:rPr>
        <w:t xml:space="preserve">) dass Menschen mit Behinderungen gleichberechtigt mit anderen die Freiheit nicht rechtswidrig oder willkürlich entzogen wird, dass jede Freiheitsentziehung im Einklang mit dem Gesetz erfolgt und dass das Vorliegen einer Behinderung in keinem Fall eine Freiheitsentziehung rechtfertigt. </w:t>
      </w:r>
    </w:p>
    <w:p w:rsidR="00045EFA" w:rsidRPr="00E070C4" w:rsidRDefault="2E0DC3B1" w:rsidP="00C27096">
      <w:pPr>
        <w:spacing w:line="360" w:lineRule="auto"/>
        <w:rPr>
          <w:rFonts w:ascii="Arial" w:hAnsi="Arial" w:cs="Arial"/>
        </w:rPr>
      </w:pPr>
      <w:r w:rsidRPr="00E070C4">
        <w:rPr>
          <w:rFonts w:ascii="Arial" w:hAnsi="Arial" w:cs="Arial"/>
        </w:rPr>
        <w:t xml:space="preserve">(2) Die Vertragsstaaten gewährleisten, dass Menschen mit Behinderungen, denen aufgrund eines Verfahrens ihre Freiheit entzogen wird, gleichberechtigt mit anderen Anspruch auf die in den internationalen Menschenrechtsnormen vorgesehenen Garantien haben und im Einklang mit den Zielen und Grundsätzen dieses Übereinkommens behandelt werden, einschließlich durch die Bereitstellung angemessener Vorkehrungen. </w:t>
      </w:r>
    </w:p>
    <w:p w:rsidR="00045EFA" w:rsidRPr="00E070C4" w:rsidRDefault="2E0DC3B1" w:rsidP="00C27096">
      <w:pPr>
        <w:spacing w:line="360" w:lineRule="auto"/>
        <w:rPr>
          <w:rFonts w:ascii="Arial" w:hAnsi="Arial" w:cs="Arial"/>
          <w:b/>
          <w:bCs/>
        </w:rPr>
      </w:pPr>
      <w:r w:rsidRPr="00E070C4">
        <w:rPr>
          <w:rFonts w:ascii="Arial" w:hAnsi="Arial" w:cs="Arial"/>
          <w:b/>
          <w:bCs/>
        </w:rPr>
        <w:t>Der BRK-Ausschuss zu Art. 14 BRK: Richtlinien zu Artikel 14 UN-BRK (2015)</w:t>
      </w:r>
    </w:p>
    <w:p w:rsidR="001B3548" w:rsidRPr="00E070C4" w:rsidRDefault="001B3548" w:rsidP="00C27096">
      <w:pPr>
        <w:spacing w:line="360" w:lineRule="auto"/>
        <w:rPr>
          <w:rFonts w:ascii="Arial" w:hAnsi="Arial" w:cs="Arial"/>
        </w:rPr>
      </w:pPr>
      <w:r w:rsidRPr="00E070C4">
        <w:rPr>
          <w:rFonts w:ascii="Arial" w:hAnsi="Arial" w:cs="Arial"/>
        </w:rPr>
        <w:t>6.</w:t>
      </w:r>
      <w:r w:rsidRPr="00E070C4">
        <w:rPr>
          <w:rFonts w:ascii="Arial" w:hAnsi="Arial" w:cs="Arial"/>
          <w:i/>
          <w:iCs/>
        </w:rPr>
        <w:t xml:space="preserve"> </w:t>
      </w:r>
      <w:r w:rsidRPr="00E070C4">
        <w:rPr>
          <w:rFonts w:ascii="Arial" w:hAnsi="Arial" w:cs="Arial"/>
        </w:rPr>
        <w:t>Es existieren nach wie vor Praktiken, wonach Vertragsstaaten Freiheitsentzug auf der Basis einer tatsächlichen oder wahrgenommenen Beeinträchtigung</w:t>
      </w:r>
      <w:r w:rsidRPr="00E070C4">
        <w:rPr>
          <w:rStyle w:val="Funotenzeichen"/>
          <w:rFonts w:ascii="Arial" w:hAnsi="Arial" w:cs="Arial"/>
        </w:rPr>
        <w:footnoteReference w:id="1"/>
      </w:r>
      <w:r w:rsidRPr="00E070C4">
        <w:rPr>
          <w:rFonts w:ascii="Arial" w:hAnsi="Arial" w:cs="Arial"/>
        </w:rPr>
        <w:t xml:space="preserve"> zulassen. Angesichts dessen hat der Fachausschuss festgestellt, dass Artikel 14 keinerlei Ausnahmen zulässt, um Personen auf Basis ihrer tatsächlichen oder wahrgenommenen Beeinträchtigung festzuhalten. Dennoch sieht die Gesetzgebung einiger Vertragsstaaten, darunter auch in Psychiatriegesetzen, immer noch Umstände vor, unter denen Personen auf der Basis ihrer tatsächlichen oder wahrgenommenen Beeinträchtigung festgehalten werden dürfen, vorausgesetzt, dass weitere Gründe für ihre Festsetzung vorliegen, einschließlich Gefährdung ihrer selbst oder von anderen. Diese Praxis stimmt nicht mit Artikel 14 überein; sie hat diskriminierenden Charakter und mündet in willkürlichem Freiheitsentzug. </w:t>
      </w:r>
    </w:p>
    <w:p w:rsidR="001B3548" w:rsidRPr="00E070C4" w:rsidRDefault="2E0DC3B1" w:rsidP="00C27096">
      <w:pPr>
        <w:spacing w:line="360" w:lineRule="auto"/>
        <w:rPr>
          <w:rFonts w:ascii="Arial" w:hAnsi="Arial" w:cs="Arial"/>
        </w:rPr>
      </w:pPr>
      <w:r w:rsidRPr="00E070C4">
        <w:rPr>
          <w:rFonts w:ascii="Arial" w:hAnsi="Arial" w:cs="Arial"/>
        </w:rPr>
        <w:t>(...)</w:t>
      </w:r>
    </w:p>
    <w:p w:rsidR="001B3548" w:rsidRPr="00E070C4" w:rsidRDefault="2E0DC3B1" w:rsidP="00C27096">
      <w:pPr>
        <w:spacing w:line="360" w:lineRule="auto"/>
        <w:rPr>
          <w:rFonts w:ascii="Arial" w:hAnsi="Arial" w:cs="Arial"/>
        </w:rPr>
      </w:pPr>
      <w:r w:rsidRPr="00E070C4">
        <w:rPr>
          <w:rFonts w:ascii="Arial" w:hAnsi="Arial" w:cs="Arial"/>
        </w:rPr>
        <w:lastRenderedPageBreak/>
        <w:t>13. In allen Staatenberichtsprüfungen hat der Ausschuss festgestellt, dass es im Widerspruch zu Artikel 14 steht, das Festhalten von Menschen mit Behinderungen zuzulassen auf der Grundlage einer wahrgenommenen Gefährdung der Personen selbst oder anderer. Das unfreiwillige Festhalten von Menschen mit Behinderungen aufgrund von eines Risikos oder einer Gefährlichkeit, mutmaßlicher Versorgungs- oder Behandlungsbedarf oder andere Gründe verbunden mit einer Beeinträchtigung oder Gesundheitsdiagnose steht im Widerspruch zum Recht auf Freiheit und führt zu willkürlicher Freiheitsberaubung.</w:t>
      </w:r>
    </w:p>
    <w:p w:rsidR="003F7EC3" w:rsidRPr="00E070C4" w:rsidRDefault="2E0DC3B1" w:rsidP="00C27096">
      <w:pPr>
        <w:spacing w:line="360" w:lineRule="auto"/>
        <w:rPr>
          <w:rFonts w:ascii="Arial" w:hAnsi="Arial" w:cs="Arial"/>
          <w:b/>
          <w:bCs/>
          <w:lang w:val="en-US"/>
        </w:rPr>
      </w:pPr>
      <w:r w:rsidRPr="00E070C4">
        <w:rPr>
          <w:rFonts w:ascii="Arial" w:hAnsi="Arial" w:cs="Arial"/>
          <w:i/>
          <w:iCs/>
          <w:lang w:val="en-US"/>
        </w:rPr>
        <w:t>Quelle: CRPD, Guidelines on article 14 of the Convention on the Rights of Persons with Disabilities, The right to liberty and security of persons with disabilities, Adopted during the Committee’s 14th session, held in September 2015, eigene Übersetzung</w:t>
      </w:r>
      <w:r w:rsidR="00A868DF" w:rsidRPr="00E070C4">
        <w:rPr>
          <w:rFonts w:ascii="Arial" w:hAnsi="Arial" w:cs="Arial"/>
          <w:lang w:val="en-US"/>
        </w:rPr>
        <w:br/>
      </w:r>
    </w:p>
    <w:p w:rsidR="005F12FC" w:rsidRPr="00E070C4" w:rsidRDefault="2E0DC3B1" w:rsidP="00C27096">
      <w:pPr>
        <w:spacing w:line="360" w:lineRule="auto"/>
        <w:rPr>
          <w:rFonts w:ascii="Arial" w:hAnsi="Arial" w:cs="Arial"/>
          <w:b/>
          <w:bCs/>
        </w:rPr>
      </w:pPr>
      <w:r w:rsidRPr="00E070C4">
        <w:rPr>
          <w:rFonts w:ascii="Arial" w:hAnsi="Arial" w:cs="Arial"/>
          <w:b/>
          <w:bCs/>
        </w:rPr>
        <w:t>Der BRK-Ausschuss zu Art. 14 BRK: Abschließende Bemerkungen über den ersten Staatenbericht Deutschlands</w:t>
      </w:r>
    </w:p>
    <w:p w:rsidR="009C1BA4" w:rsidRPr="00E070C4" w:rsidRDefault="2E0DC3B1" w:rsidP="00C27096">
      <w:pPr>
        <w:spacing w:line="360" w:lineRule="auto"/>
        <w:rPr>
          <w:rFonts w:ascii="Arial" w:hAnsi="Arial" w:cs="Arial"/>
        </w:rPr>
      </w:pPr>
      <w:r w:rsidRPr="00E070C4">
        <w:rPr>
          <w:rFonts w:ascii="Arial" w:hAnsi="Arial" w:cs="Arial"/>
        </w:rPr>
        <w:t xml:space="preserve">29. Der Ausschuss ist besorgt über die verbreitete Praxis der Zwangsunterbringung von Menschen mit psychosozialen Behinderungen in Einrichtungen, den mangelnden Schutz ihrer Privatsphäre und den Mangel an verfügbaren Daten über ihre Situation. </w:t>
      </w:r>
    </w:p>
    <w:p w:rsidR="009C1BA4" w:rsidRPr="00E070C4" w:rsidRDefault="2E0DC3B1" w:rsidP="00C27096">
      <w:pPr>
        <w:spacing w:line="360" w:lineRule="auto"/>
        <w:rPr>
          <w:rFonts w:ascii="Arial" w:hAnsi="Arial" w:cs="Arial"/>
        </w:rPr>
      </w:pPr>
      <w:r w:rsidRPr="00E070C4">
        <w:rPr>
          <w:rFonts w:ascii="Arial" w:hAnsi="Arial" w:cs="Arial"/>
        </w:rPr>
        <w:t xml:space="preserve">30. Der Ausschuss empfiehlt dem Vertragsstaat, alle unmittelbar notwendigen gesetzgeberischen, administrativen und gerichtlichen Maßnahmen zu ergreifen, </w:t>
      </w:r>
    </w:p>
    <w:p w:rsidR="009C1BA4" w:rsidRPr="00E070C4" w:rsidRDefault="2E0DC3B1" w:rsidP="00C27096">
      <w:pPr>
        <w:spacing w:line="360" w:lineRule="auto"/>
        <w:rPr>
          <w:rFonts w:ascii="Arial" w:hAnsi="Arial" w:cs="Arial"/>
        </w:rPr>
      </w:pPr>
      <w:r w:rsidRPr="00E070C4">
        <w:rPr>
          <w:rFonts w:ascii="Arial" w:hAnsi="Arial" w:cs="Arial"/>
        </w:rPr>
        <w:t xml:space="preserve">(a) um Zwangsunterbringung durch Rechtsänderungen zu verbieten, und mit den Artikeln 14, 19 und 22 des Übereinkommens übereinstimmende alternative Maßnahmen zu fördern; </w:t>
      </w:r>
    </w:p>
    <w:p w:rsidR="009C1BA4" w:rsidRPr="00E070C4" w:rsidRDefault="2E0DC3B1" w:rsidP="00C27096">
      <w:pPr>
        <w:spacing w:line="360" w:lineRule="auto"/>
        <w:rPr>
          <w:rFonts w:ascii="Arial" w:hAnsi="Arial" w:cs="Arial"/>
        </w:rPr>
      </w:pPr>
      <w:r w:rsidRPr="00E070C4">
        <w:rPr>
          <w:rFonts w:ascii="Arial" w:hAnsi="Arial" w:cs="Arial"/>
        </w:rPr>
        <w:t xml:space="preserve">(b) um eine unabhängige Überprüfung durchzuführen, gestützt auf eine menschenrechtsbasierte Überprüfung der psychiatrischen Dienste für Menschen mit Behinderungen und der Achtung ihrer </w:t>
      </w:r>
    </w:p>
    <w:p w:rsidR="00A868DF" w:rsidRPr="00E070C4" w:rsidRDefault="2E0DC3B1" w:rsidP="00C27096">
      <w:pPr>
        <w:spacing w:line="360" w:lineRule="auto"/>
        <w:rPr>
          <w:rFonts w:ascii="Arial" w:hAnsi="Arial" w:cs="Arial"/>
        </w:rPr>
      </w:pPr>
      <w:r w:rsidRPr="00E070C4">
        <w:rPr>
          <w:rFonts w:ascii="Arial" w:hAnsi="Arial" w:cs="Arial"/>
        </w:rPr>
        <w:t xml:space="preserve">Privatsphäre sowie die Sammlung einschlägiger Daten. </w:t>
      </w:r>
    </w:p>
    <w:p w:rsidR="009C1BA4" w:rsidRPr="00E070C4" w:rsidRDefault="2E0DC3B1" w:rsidP="00C27096">
      <w:pPr>
        <w:spacing w:line="360" w:lineRule="auto"/>
        <w:rPr>
          <w:rFonts w:ascii="Arial" w:hAnsi="Arial" w:cs="Arial"/>
        </w:rPr>
      </w:pPr>
      <w:r w:rsidRPr="00E070C4">
        <w:rPr>
          <w:rFonts w:ascii="Arial" w:hAnsi="Arial" w:cs="Arial"/>
        </w:rPr>
        <w:t xml:space="preserve">31. Der Ausschuss nimmt mit Besorgnis Kenntnis von dem Mangel an Informationen über Menschen mit Behinderungen im Strafjustizsystem, die bei einer Straftat für verhandlungsunfähig erklärt worden sind, über den Freiheitsentzug bei Personen aufgrund dieser Erklärung und die Anwendung von Maßregeln der Sicherung, oftmals auf unbestimmte Zeit. </w:t>
      </w:r>
    </w:p>
    <w:p w:rsidR="009C1BA4" w:rsidRPr="00E070C4" w:rsidRDefault="2E0DC3B1" w:rsidP="00C27096">
      <w:pPr>
        <w:spacing w:line="360" w:lineRule="auto"/>
        <w:rPr>
          <w:rFonts w:ascii="Arial" w:hAnsi="Arial" w:cs="Arial"/>
        </w:rPr>
      </w:pPr>
      <w:r w:rsidRPr="00E070C4">
        <w:rPr>
          <w:rFonts w:ascii="Arial" w:hAnsi="Arial" w:cs="Arial"/>
        </w:rPr>
        <w:t xml:space="preserve">32. Der Ausschuss empfiehlt dem Vertragsstaat, a) eine strukturelle Überprüfung der Verfahren einzuleiten, die genutzt werden, um straffällig gewordene Menschen mit Behinderungen zu bestrafen; b) sicherzustellen, dass Menschen mit Behinderungen gleichen </w:t>
      </w:r>
      <w:r w:rsidRPr="00E070C4">
        <w:rPr>
          <w:rFonts w:ascii="Arial" w:hAnsi="Arial" w:cs="Arial"/>
        </w:rPr>
        <w:lastRenderedPageBreak/>
        <w:t xml:space="preserve">Zugang zu den Verfahrensgarantien haben, die allen einer Straftat beschuldigten Personen im Strafjustizsystem zur Verfügung stehen, unter anderem die Unschuldsvermutung, das Recht auf Verteidigung und auf ein faires Verfahren; c) angemessene Vorkehrungen an Orten des Freiheitsentzugs sicherzustellen. </w:t>
      </w:r>
    </w:p>
    <w:p w:rsidR="00D400DC" w:rsidRPr="00E070C4" w:rsidRDefault="2E0DC3B1" w:rsidP="00C27096">
      <w:pPr>
        <w:spacing w:line="360" w:lineRule="auto"/>
        <w:rPr>
          <w:rFonts w:ascii="Arial" w:hAnsi="Arial" w:cs="Arial"/>
          <w:i/>
          <w:iCs/>
        </w:rPr>
      </w:pPr>
      <w:r w:rsidRPr="00E070C4">
        <w:rPr>
          <w:rFonts w:ascii="Arial" w:hAnsi="Arial" w:cs="Arial"/>
          <w:i/>
          <w:iCs/>
        </w:rPr>
        <w:t>Ausschuss für die Rechte von Menschen mit Behinderungen (2015): Abschließende Bemerkungen über den ersten Staatenbericht Deutschlands, CRPD/C/DEU/CO/1, 17. April 2015; Deutsche Übersetzung der Monitoring-Stelle zur UN-BRK</w:t>
      </w:r>
    </w:p>
    <w:p w:rsidR="00872AF4" w:rsidRPr="00E070C4" w:rsidRDefault="00872AF4" w:rsidP="00C27096">
      <w:pPr>
        <w:spacing w:line="360" w:lineRule="auto"/>
        <w:rPr>
          <w:rFonts w:ascii="Arial" w:eastAsiaTheme="majorEastAsia" w:hAnsi="Arial" w:cs="Arial"/>
          <w:color w:val="17365D" w:themeColor="text2" w:themeShade="BF"/>
          <w:spacing w:val="5"/>
          <w:kern w:val="28"/>
          <w:sz w:val="52"/>
          <w:szCs w:val="52"/>
        </w:rPr>
      </w:pPr>
      <w:r w:rsidRPr="00E070C4">
        <w:rPr>
          <w:rFonts w:ascii="Arial" w:hAnsi="Arial" w:cs="Arial"/>
        </w:rPr>
        <w:br w:type="page"/>
      </w:r>
    </w:p>
    <w:p w:rsidR="00045EFA" w:rsidRPr="00E070C4" w:rsidRDefault="2E0DC3B1" w:rsidP="00C27096">
      <w:pPr>
        <w:pStyle w:val="berschrift1"/>
        <w:pBdr>
          <w:bottom w:val="single" w:sz="4" w:space="1" w:color="auto"/>
        </w:pBdr>
        <w:spacing w:line="360" w:lineRule="auto"/>
        <w:rPr>
          <w:rFonts w:ascii="Arial" w:hAnsi="Arial" w:cs="Arial"/>
          <w:color w:val="0070C0"/>
          <w:sz w:val="40"/>
          <w:lang w:val="de-DE"/>
        </w:rPr>
      </w:pPr>
      <w:r w:rsidRPr="00E070C4">
        <w:rPr>
          <w:rFonts w:ascii="Arial" w:hAnsi="Arial" w:cs="Arial"/>
          <w:color w:val="0070C0"/>
          <w:sz w:val="40"/>
          <w:lang w:val="de-DE"/>
        </w:rPr>
        <w:lastRenderedPageBreak/>
        <w:t>Fragen für die Gruppe:</w:t>
      </w:r>
    </w:p>
    <w:p w:rsidR="00045EFA" w:rsidRPr="00E070C4" w:rsidRDefault="2E0DC3B1" w:rsidP="00C27096">
      <w:pPr>
        <w:numPr>
          <w:ilvl w:val="0"/>
          <w:numId w:val="3"/>
        </w:numPr>
        <w:spacing w:line="360" w:lineRule="auto"/>
        <w:rPr>
          <w:rFonts w:ascii="Arial" w:hAnsi="Arial" w:cs="Arial"/>
        </w:rPr>
      </w:pPr>
      <w:r w:rsidRPr="00E070C4">
        <w:rPr>
          <w:rFonts w:ascii="Arial" w:hAnsi="Arial" w:cs="Arial"/>
        </w:rPr>
        <w:t>Erlaubt Art. 14 eine Zwangseinweisung aufgrund einer Behinderung?</w:t>
      </w:r>
    </w:p>
    <w:p w:rsidR="00045EFA" w:rsidRPr="00E070C4" w:rsidRDefault="2E0DC3B1" w:rsidP="00C27096">
      <w:pPr>
        <w:numPr>
          <w:ilvl w:val="0"/>
          <w:numId w:val="3"/>
        </w:numPr>
        <w:spacing w:line="360" w:lineRule="auto"/>
        <w:rPr>
          <w:rFonts w:ascii="Arial" w:hAnsi="Arial" w:cs="Arial"/>
        </w:rPr>
      </w:pPr>
      <w:r w:rsidRPr="00E070C4">
        <w:rPr>
          <w:rFonts w:ascii="Arial" w:hAnsi="Arial" w:cs="Arial"/>
        </w:rPr>
        <w:t xml:space="preserve">Ist der neue § 1906 BGB mit Art. 14 BRK vereinbar? (vgl. dazu Word-Datei „BGB § 1906“) </w:t>
      </w:r>
    </w:p>
    <w:p w:rsidR="00045EFA" w:rsidRPr="00E070C4" w:rsidRDefault="2E0DC3B1" w:rsidP="00C27096">
      <w:pPr>
        <w:numPr>
          <w:ilvl w:val="0"/>
          <w:numId w:val="3"/>
        </w:numPr>
        <w:spacing w:line="360" w:lineRule="auto"/>
        <w:rPr>
          <w:rFonts w:ascii="Arial" w:hAnsi="Arial" w:cs="Arial"/>
        </w:rPr>
      </w:pPr>
      <w:r w:rsidRPr="00E070C4">
        <w:rPr>
          <w:rFonts w:ascii="Arial" w:hAnsi="Arial" w:cs="Arial"/>
        </w:rPr>
        <w:t>Haben Sie in Ihrer Arbeit eigene Erfahrungen mit diesem Thema gemacht?</w:t>
      </w:r>
    </w:p>
    <w:p w:rsidR="00045EFA" w:rsidRPr="00E070C4" w:rsidRDefault="00045EFA" w:rsidP="00C27096">
      <w:pPr>
        <w:spacing w:line="360" w:lineRule="auto"/>
        <w:rPr>
          <w:rFonts w:ascii="Arial" w:hAnsi="Arial" w:cs="Arial"/>
        </w:rPr>
      </w:pPr>
    </w:p>
    <w:p w:rsidR="00045EFA" w:rsidRPr="00E070C4" w:rsidRDefault="00045EFA" w:rsidP="00C27096">
      <w:pPr>
        <w:spacing w:line="360" w:lineRule="auto"/>
        <w:rPr>
          <w:rFonts w:ascii="Arial" w:hAnsi="Arial" w:cs="Arial"/>
        </w:rPr>
      </w:pPr>
    </w:p>
    <w:sectPr w:rsidR="00045EFA" w:rsidRPr="00E070C4" w:rsidSect="009A1D10">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75B0" w:rsidRDefault="009475B0" w:rsidP="00AE3C28">
      <w:pPr>
        <w:spacing w:after="0" w:line="240" w:lineRule="auto"/>
      </w:pPr>
      <w:r>
        <w:separator/>
      </w:r>
    </w:p>
  </w:endnote>
  <w:endnote w:type="continuationSeparator" w:id="0">
    <w:p w:rsidR="009475B0" w:rsidRDefault="009475B0" w:rsidP="00AE3C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0467" w:rsidRDefault="00BC0467" w:rsidP="00BC0467">
    <w:pPr>
      <w:pStyle w:val="Fuzeile"/>
      <w:ind w:right="360"/>
    </w:pPr>
    <w:r>
      <w:rPr>
        <w:noProof/>
      </w:rPr>
      <w:drawing>
        <wp:inline distT="0" distB="0" distL="0" distR="0">
          <wp:extent cx="2710502" cy="429940"/>
          <wp:effectExtent l="19050" t="0" r="0" b="0"/>
          <wp:docPr id="3" name="Grafik 2" descr="Förderlogo ESF und MAGS N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omplett neu farbig IKSL.jpg"/>
                  <pic:cNvPicPr/>
                </pic:nvPicPr>
                <pic:blipFill>
                  <a:blip r:embed="rId1"/>
                  <a:stretch>
                    <a:fillRect/>
                  </a:stretch>
                </pic:blipFill>
                <pic:spPr>
                  <a:xfrm>
                    <a:off x="0" y="0"/>
                    <a:ext cx="2716832" cy="430944"/>
                  </a:xfrm>
                  <a:prstGeom prst="rect">
                    <a:avLst/>
                  </a:prstGeom>
                </pic:spPr>
              </pic:pic>
            </a:graphicData>
          </a:graphic>
        </wp:inline>
      </w:drawing>
    </w:r>
    <w:r>
      <w:t xml:space="preserve"> </w:t>
    </w:r>
    <w:r>
      <w:rPr>
        <w:noProof/>
      </w:rPr>
      <w:drawing>
        <wp:inline distT="0" distB="0" distL="0" distR="0">
          <wp:extent cx="2069057" cy="349019"/>
          <wp:effectExtent l="19050" t="0" r="7393" b="0"/>
          <wp:docPr id="4" name="Bild 1" descr="Logo EvH RWL und BOD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anziska Witzmann\Dropbox\AKTIF\BODYS\Logo Evh und Bodys\EVH_Bodys_Logo.png"/>
                  <pic:cNvPicPr>
                    <a:picLocks noChangeAspect="1" noChangeArrowheads="1"/>
                  </pic:cNvPicPr>
                </pic:nvPicPr>
                <pic:blipFill>
                  <a:blip r:embed="rId2"/>
                  <a:srcRect/>
                  <a:stretch>
                    <a:fillRect/>
                  </a:stretch>
                </pic:blipFill>
                <pic:spPr bwMode="auto">
                  <a:xfrm>
                    <a:off x="0" y="0"/>
                    <a:ext cx="2090527" cy="352641"/>
                  </a:xfrm>
                  <a:prstGeom prst="rect">
                    <a:avLst/>
                  </a:prstGeom>
                  <a:noFill/>
                  <a:ln w="9525">
                    <a:noFill/>
                    <a:miter lim="800000"/>
                    <a:headEnd/>
                    <a:tailEnd/>
                  </a:ln>
                </pic:spPr>
              </pic:pic>
            </a:graphicData>
          </a:graphic>
        </wp:inline>
      </w:drawing>
    </w:r>
    <w:r>
      <w:tab/>
    </w:r>
    <w:fldSimple w:instr=" PAGE   \* MERGEFORMAT ">
      <w:r w:rsidR="0036221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75B0" w:rsidRDefault="009475B0" w:rsidP="00AE3C28">
      <w:pPr>
        <w:spacing w:after="0" w:line="240" w:lineRule="auto"/>
      </w:pPr>
      <w:r>
        <w:separator/>
      </w:r>
    </w:p>
  </w:footnote>
  <w:footnote w:type="continuationSeparator" w:id="0">
    <w:p w:rsidR="009475B0" w:rsidRDefault="009475B0" w:rsidP="00AE3C28">
      <w:pPr>
        <w:spacing w:after="0" w:line="240" w:lineRule="auto"/>
      </w:pPr>
      <w:r>
        <w:continuationSeparator/>
      </w:r>
    </w:p>
  </w:footnote>
  <w:footnote w:id="1">
    <w:p w:rsidR="001B3548" w:rsidRDefault="001B3548">
      <w:pPr>
        <w:pStyle w:val="Funotentext"/>
      </w:pPr>
      <w:r>
        <w:rPr>
          <w:rStyle w:val="Funotenzeichen"/>
        </w:rPr>
        <w:footnoteRef/>
      </w:r>
      <w:r>
        <w:t xml:space="preserve"> </w:t>
      </w:r>
      <w:r w:rsidRPr="001B3548">
        <w:t>Beeinträchtigung wird in diesen Richtlinien als ein physischer, psycho-sozialer, intellektueller oder sensorischer persönlicher Zustand verstanden, der mit oder ohne funktionale Einschränkungen des Körpers, des Geistes oder der Sinne einhergehen kann. Beeinträchtigung unterscheidet sich von dem, was normalerweise für die Norm gehalten wird. Behinderung wird verstanden als die soziale Wirkung der Interaktion zwischen individueller Beeinträchtigung und sozialer und materieller Umwelt wie in Art. 1 UN-BRK beschrieben.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C28" w:rsidRDefault="2E0DC3B1">
    <w:pPr>
      <w:pStyle w:val="Kopfzeile"/>
    </w:pPr>
    <w:r>
      <w:t>Arbeitsblatt Gruppe 1 zu Artikel 12 und Artikel 14 BRK</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74F44"/>
    <w:multiLevelType w:val="hybridMultilevel"/>
    <w:tmpl w:val="3B3E3952"/>
    <w:lvl w:ilvl="0" w:tplc="49387332">
      <w:start w:val="1"/>
      <w:numFmt w:val="lowerLetter"/>
      <w:lvlText w:val="%1."/>
      <w:lvlJc w:val="left"/>
      <w:pPr>
        <w:tabs>
          <w:tab w:val="num" w:pos="720"/>
        </w:tabs>
        <w:ind w:left="720" w:hanging="360"/>
      </w:pPr>
    </w:lvl>
    <w:lvl w:ilvl="1" w:tplc="A6882FE6" w:tentative="1">
      <w:start w:val="1"/>
      <w:numFmt w:val="lowerLetter"/>
      <w:lvlText w:val="%2."/>
      <w:lvlJc w:val="left"/>
      <w:pPr>
        <w:tabs>
          <w:tab w:val="num" w:pos="1440"/>
        </w:tabs>
        <w:ind w:left="1440" w:hanging="360"/>
      </w:pPr>
    </w:lvl>
    <w:lvl w:ilvl="2" w:tplc="0D8C201A" w:tentative="1">
      <w:start w:val="1"/>
      <w:numFmt w:val="lowerLetter"/>
      <w:lvlText w:val="%3."/>
      <w:lvlJc w:val="left"/>
      <w:pPr>
        <w:tabs>
          <w:tab w:val="num" w:pos="2160"/>
        </w:tabs>
        <w:ind w:left="2160" w:hanging="360"/>
      </w:pPr>
    </w:lvl>
    <w:lvl w:ilvl="3" w:tplc="E3BE7786" w:tentative="1">
      <w:start w:val="1"/>
      <w:numFmt w:val="lowerLetter"/>
      <w:lvlText w:val="%4."/>
      <w:lvlJc w:val="left"/>
      <w:pPr>
        <w:tabs>
          <w:tab w:val="num" w:pos="2880"/>
        </w:tabs>
        <w:ind w:left="2880" w:hanging="360"/>
      </w:pPr>
    </w:lvl>
    <w:lvl w:ilvl="4" w:tplc="B87882B8" w:tentative="1">
      <w:start w:val="1"/>
      <w:numFmt w:val="lowerLetter"/>
      <w:lvlText w:val="%5."/>
      <w:lvlJc w:val="left"/>
      <w:pPr>
        <w:tabs>
          <w:tab w:val="num" w:pos="3600"/>
        </w:tabs>
        <w:ind w:left="3600" w:hanging="360"/>
      </w:pPr>
    </w:lvl>
    <w:lvl w:ilvl="5" w:tplc="6D04C53E" w:tentative="1">
      <w:start w:val="1"/>
      <w:numFmt w:val="lowerLetter"/>
      <w:lvlText w:val="%6."/>
      <w:lvlJc w:val="left"/>
      <w:pPr>
        <w:tabs>
          <w:tab w:val="num" w:pos="4320"/>
        </w:tabs>
        <w:ind w:left="4320" w:hanging="360"/>
      </w:pPr>
    </w:lvl>
    <w:lvl w:ilvl="6" w:tplc="6CDEDB54" w:tentative="1">
      <w:start w:val="1"/>
      <w:numFmt w:val="lowerLetter"/>
      <w:lvlText w:val="%7."/>
      <w:lvlJc w:val="left"/>
      <w:pPr>
        <w:tabs>
          <w:tab w:val="num" w:pos="5040"/>
        </w:tabs>
        <w:ind w:left="5040" w:hanging="360"/>
      </w:pPr>
    </w:lvl>
    <w:lvl w:ilvl="7" w:tplc="B31E281E" w:tentative="1">
      <w:start w:val="1"/>
      <w:numFmt w:val="lowerLetter"/>
      <w:lvlText w:val="%8."/>
      <w:lvlJc w:val="left"/>
      <w:pPr>
        <w:tabs>
          <w:tab w:val="num" w:pos="5760"/>
        </w:tabs>
        <w:ind w:left="5760" w:hanging="360"/>
      </w:pPr>
    </w:lvl>
    <w:lvl w:ilvl="8" w:tplc="8C46F1BE" w:tentative="1">
      <w:start w:val="1"/>
      <w:numFmt w:val="lowerLetter"/>
      <w:lvlText w:val="%9."/>
      <w:lvlJc w:val="left"/>
      <w:pPr>
        <w:tabs>
          <w:tab w:val="num" w:pos="6480"/>
        </w:tabs>
        <w:ind w:left="6480" w:hanging="360"/>
      </w:pPr>
    </w:lvl>
  </w:abstractNum>
  <w:abstractNum w:abstractNumId="1">
    <w:nsid w:val="48A35E72"/>
    <w:multiLevelType w:val="hybridMultilevel"/>
    <w:tmpl w:val="ECE2499A"/>
    <w:lvl w:ilvl="0" w:tplc="26108018">
      <w:start w:val="1"/>
      <w:numFmt w:val="decimal"/>
      <w:lvlText w:val="%1."/>
      <w:lvlJc w:val="left"/>
      <w:pPr>
        <w:tabs>
          <w:tab w:val="num" w:pos="720"/>
        </w:tabs>
        <w:ind w:left="720" w:hanging="360"/>
      </w:pPr>
    </w:lvl>
    <w:lvl w:ilvl="1" w:tplc="99D898C2" w:tentative="1">
      <w:start w:val="1"/>
      <w:numFmt w:val="decimal"/>
      <w:lvlText w:val="%2."/>
      <w:lvlJc w:val="left"/>
      <w:pPr>
        <w:tabs>
          <w:tab w:val="num" w:pos="1440"/>
        </w:tabs>
        <w:ind w:left="1440" w:hanging="360"/>
      </w:pPr>
    </w:lvl>
    <w:lvl w:ilvl="2" w:tplc="D7268366" w:tentative="1">
      <w:start w:val="1"/>
      <w:numFmt w:val="decimal"/>
      <w:lvlText w:val="%3."/>
      <w:lvlJc w:val="left"/>
      <w:pPr>
        <w:tabs>
          <w:tab w:val="num" w:pos="2160"/>
        </w:tabs>
        <w:ind w:left="2160" w:hanging="360"/>
      </w:pPr>
    </w:lvl>
    <w:lvl w:ilvl="3" w:tplc="86CA63C4" w:tentative="1">
      <w:start w:val="1"/>
      <w:numFmt w:val="decimal"/>
      <w:lvlText w:val="%4."/>
      <w:lvlJc w:val="left"/>
      <w:pPr>
        <w:tabs>
          <w:tab w:val="num" w:pos="2880"/>
        </w:tabs>
        <w:ind w:left="2880" w:hanging="360"/>
      </w:pPr>
    </w:lvl>
    <w:lvl w:ilvl="4" w:tplc="BC6C0FB8" w:tentative="1">
      <w:start w:val="1"/>
      <w:numFmt w:val="decimal"/>
      <w:lvlText w:val="%5."/>
      <w:lvlJc w:val="left"/>
      <w:pPr>
        <w:tabs>
          <w:tab w:val="num" w:pos="3600"/>
        </w:tabs>
        <w:ind w:left="3600" w:hanging="360"/>
      </w:pPr>
    </w:lvl>
    <w:lvl w:ilvl="5" w:tplc="7BF6FFB4" w:tentative="1">
      <w:start w:val="1"/>
      <w:numFmt w:val="decimal"/>
      <w:lvlText w:val="%6."/>
      <w:lvlJc w:val="left"/>
      <w:pPr>
        <w:tabs>
          <w:tab w:val="num" w:pos="4320"/>
        </w:tabs>
        <w:ind w:left="4320" w:hanging="360"/>
      </w:pPr>
    </w:lvl>
    <w:lvl w:ilvl="6" w:tplc="6686A9D4" w:tentative="1">
      <w:start w:val="1"/>
      <w:numFmt w:val="decimal"/>
      <w:lvlText w:val="%7."/>
      <w:lvlJc w:val="left"/>
      <w:pPr>
        <w:tabs>
          <w:tab w:val="num" w:pos="5040"/>
        </w:tabs>
        <w:ind w:left="5040" w:hanging="360"/>
      </w:pPr>
    </w:lvl>
    <w:lvl w:ilvl="7" w:tplc="A3AC9C82" w:tentative="1">
      <w:start w:val="1"/>
      <w:numFmt w:val="decimal"/>
      <w:lvlText w:val="%8."/>
      <w:lvlJc w:val="left"/>
      <w:pPr>
        <w:tabs>
          <w:tab w:val="num" w:pos="5760"/>
        </w:tabs>
        <w:ind w:left="5760" w:hanging="360"/>
      </w:pPr>
    </w:lvl>
    <w:lvl w:ilvl="8" w:tplc="A5E6073C" w:tentative="1">
      <w:start w:val="1"/>
      <w:numFmt w:val="decimal"/>
      <w:lvlText w:val="%9."/>
      <w:lvlJc w:val="left"/>
      <w:pPr>
        <w:tabs>
          <w:tab w:val="num" w:pos="6480"/>
        </w:tabs>
        <w:ind w:left="6480" w:hanging="360"/>
      </w:pPr>
    </w:lvl>
  </w:abstractNum>
  <w:abstractNum w:abstractNumId="2">
    <w:nsid w:val="4D020A67"/>
    <w:multiLevelType w:val="hybridMultilevel"/>
    <w:tmpl w:val="C0A62D76"/>
    <w:lvl w:ilvl="0" w:tplc="72662F8C">
      <w:start w:val="1"/>
      <w:numFmt w:val="decimal"/>
      <w:lvlText w:val="%1."/>
      <w:lvlJc w:val="left"/>
      <w:pPr>
        <w:tabs>
          <w:tab w:val="num" w:pos="720"/>
        </w:tabs>
        <w:ind w:left="720" w:hanging="360"/>
      </w:pPr>
    </w:lvl>
    <w:lvl w:ilvl="1" w:tplc="7D7A3BE6" w:tentative="1">
      <w:start w:val="1"/>
      <w:numFmt w:val="decimal"/>
      <w:lvlText w:val="%2."/>
      <w:lvlJc w:val="left"/>
      <w:pPr>
        <w:tabs>
          <w:tab w:val="num" w:pos="1440"/>
        </w:tabs>
        <w:ind w:left="1440" w:hanging="360"/>
      </w:pPr>
    </w:lvl>
    <w:lvl w:ilvl="2" w:tplc="479CBE88" w:tentative="1">
      <w:start w:val="1"/>
      <w:numFmt w:val="decimal"/>
      <w:lvlText w:val="%3."/>
      <w:lvlJc w:val="left"/>
      <w:pPr>
        <w:tabs>
          <w:tab w:val="num" w:pos="2160"/>
        </w:tabs>
        <w:ind w:left="2160" w:hanging="360"/>
      </w:pPr>
    </w:lvl>
    <w:lvl w:ilvl="3" w:tplc="074A23FE" w:tentative="1">
      <w:start w:val="1"/>
      <w:numFmt w:val="decimal"/>
      <w:lvlText w:val="%4."/>
      <w:lvlJc w:val="left"/>
      <w:pPr>
        <w:tabs>
          <w:tab w:val="num" w:pos="2880"/>
        </w:tabs>
        <w:ind w:left="2880" w:hanging="360"/>
      </w:pPr>
    </w:lvl>
    <w:lvl w:ilvl="4" w:tplc="4E08FF70" w:tentative="1">
      <w:start w:val="1"/>
      <w:numFmt w:val="decimal"/>
      <w:lvlText w:val="%5."/>
      <w:lvlJc w:val="left"/>
      <w:pPr>
        <w:tabs>
          <w:tab w:val="num" w:pos="3600"/>
        </w:tabs>
        <w:ind w:left="3600" w:hanging="360"/>
      </w:pPr>
    </w:lvl>
    <w:lvl w:ilvl="5" w:tplc="30B05B90" w:tentative="1">
      <w:start w:val="1"/>
      <w:numFmt w:val="decimal"/>
      <w:lvlText w:val="%6."/>
      <w:lvlJc w:val="left"/>
      <w:pPr>
        <w:tabs>
          <w:tab w:val="num" w:pos="4320"/>
        </w:tabs>
        <w:ind w:left="4320" w:hanging="360"/>
      </w:pPr>
    </w:lvl>
    <w:lvl w:ilvl="6" w:tplc="306C09E0" w:tentative="1">
      <w:start w:val="1"/>
      <w:numFmt w:val="decimal"/>
      <w:lvlText w:val="%7."/>
      <w:lvlJc w:val="left"/>
      <w:pPr>
        <w:tabs>
          <w:tab w:val="num" w:pos="5040"/>
        </w:tabs>
        <w:ind w:left="5040" w:hanging="360"/>
      </w:pPr>
    </w:lvl>
    <w:lvl w:ilvl="7" w:tplc="17B00774" w:tentative="1">
      <w:start w:val="1"/>
      <w:numFmt w:val="decimal"/>
      <w:lvlText w:val="%8."/>
      <w:lvlJc w:val="left"/>
      <w:pPr>
        <w:tabs>
          <w:tab w:val="num" w:pos="5760"/>
        </w:tabs>
        <w:ind w:left="5760" w:hanging="360"/>
      </w:pPr>
    </w:lvl>
    <w:lvl w:ilvl="8" w:tplc="311422AA"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footnotePr>
    <w:footnote w:id="-1"/>
    <w:footnote w:id="0"/>
  </w:footnotePr>
  <w:endnotePr>
    <w:endnote w:id="-1"/>
    <w:endnote w:id="0"/>
  </w:endnotePr>
  <w:compat>
    <w:useFELayout/>
  </w:compat>
  <w:rsids>
    <w:rsidRoot w:val="008A1A22"/>
    <w:rsid w:val="00045EFA"/>
    <w:rsid w:val="000616C2"/>
    <w:rsid w:val="000D1D5A"/>
    <w:rsid w:val="00116EFA"/>
    <w:rsid w:val="00123B78"/>
    <w:rsid w:val="00133356"/>
    <w:rsid w:val="00180B63"/>
    <w:rsid w:val="001B3548"/>
    <w:rsid w:val="001D1698"/>
    <w:rsid w:val="001E76BA"/>
    <w:rsid w:val="002C54C0"/>
    <w:rsid w:val="002D1526"/>
    <w:rsid w:val="002D7086"/>
    <w:rsid w:val="0036221F"/>
    <w:rsid w:val="003F1BB3"/>
    <w:rsid w:val="003F7EC3"/>
    <w:rsid w:val="00440FD3"/>
    <w:rsid w:val="004753F8"/>
    <w:rsid w:val="00491C12"/>
    <w:rsid w:val="00507132"/>
    <w:rsid w:val="00513C00"/>
    <w:rsid w:val="00521E72"/>
    <w:rsid w:val="005663B7"/>
    <w:rsid w:val="00573B78"/>
    <w:rsid w:val="00574417"/>
    <w:rsid w:val="005A2B53"/>
    <w:rsid w:val="005D19F5"/>
    <w:rsid w:val="005E0427"/>
    <w:rsid w:val="005E7946"/>
    <w:rsid w:val="005F12FC"/>
    <w:rsid w:val="006018A4"/>
    <w:rsid w:val="00601DE0"/>
    <w:rsid w:val="0061385F"/>
    <w:rsid w:val="006327E6"/>
    <w:rsid w:val="00655490"/>
    <w:rsid w:val="006601CB"/>
    <w:rsid w:val="00674CAB"/>
    <w:rsid w:val="00677B19"/>
    <w:rsid w:val="006B0371"/>
    <w:rsid w:val="006D3CBB"/>
    <w:rsid w:val="007D739D"/>
    <w:rsid w:val="007E6F54"/>
    <w:rsid w:val="0081768B"/>
    <w:rsid w:val="00872AF4"/>
    <w:rsid w:val="008A0857"/>
    <w:rsid w:val="008A1A22"/>
    <w:rsid w:val="008E0FF2"/>
    <w:rsid w:val="00901750"/>
    <w:rsid w:val="00941A92"/>
    <w:rsid w:val="00942FBD"/>
    <w:rsid w:val="009475B0"/>
    <w:rsid w:val="00973BF0"/>
    <w:rsid w:val="00996F4C"/>
    <w:rsid w:val="009A1D10"/>
    <w:rsid w:val="009A46C0"/>
    <w:rsid w:val="009C1BA4"/>
    <w:rsid w:val="009D3661"/>
    <w:rsid w:val="00A70F23"/>
    <w:rsid w:val="00A868DF"/>
    <w:rsid w:val="00A925A9"/>
    <w:rsid w:val="00AA5ED0"/>
    <w:rsid w:val="00AE3C28"/>
    <w:rsid w:val="00AF77E5"/>
    <w:rsid w:val="00B13ED9"/>
    <w:rsid w:val="00B21378"/>
    <w:rsid w:val="00B6092D"/>
    <w:rsid w:val="00B75D7B"/>
    <w:rsid w:val="00BA274D"/>
    <w:rsid w:val="00BC0467"/>
    <w:rsid w:val="00BC3AFA"/>
    <w:rsid w:val="00BE0F0D"/>
    <w:rsid w:val="00C26281"/>
    <w:rsid w:val="00C27096"/>
    <w:rsid w:val="00C37143"/>
    <w:rsid w:val="00C6176F"/>
    <w:rsid w:val="00C65B3C"/>
    <w:rsid w:val="00C842C6"/>
    <w:rsid w:val="00D36004"/>
    <w:rsid w:val="00D400DC"/>
    <w:rsid w:val="00D508E8"/>
    <w:rsid w:val="00D606D4"/>
    <w:rsid w:val="00DC120F"/>
    <w:rsid w:val="00DF5CD4"/>
    <w:rsid w:val="00DF7A02"/>
    <w:rsid w:val="00E070C4"/>
    <w:rsid w:val="00E723FA"/>
    <w:rsid w:val="00E74939"/>
    <w:rsid w:val="00E840A5"/>
    <w:rsid w:val="00E93629"/>
    <w:rsid w:val="00F102B8"/>
    <w:rsid w:val="00F1798D"/>
    <w:rsid w:val="00F23569"/>
    <w:rsid w:val="00F66287"/>
    <w:rsid w:val="00F76876"/>
    <w:rsid w:val="00FF5132"/>
    <w:rsid w:val="2E0DC3B1"/>
    <w:rsid w:val="47213C46"/>
    <w:rsid w:val="556ABD5C"/>
    <w:rsid w:val="66AC34D0"/>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E76BA"/>
  </w:style>
  <w:style w:type="paragraph" w:styleId="berschrift1">
    <w:name w:val="heading 1"/>
    <w:basedOn w:val="Standard"/>
    <w:next w:val="Standard"/>
    <w:link w:val="berschrift1Zchn"/>
    <w:uiPriority w:val="9"/>
    <w:qFormat/>
    <w:rsid w:val="00A868DF"/>
    <w:pPr>
      <w:keepNext/>
      <w:spacing w:before="240" w:after="60"/>
      <w:outlineLvl w:val="0"/>
    </w:pPr>
    <w:rPr>
      <w:rFonts w:ascii="Cambria" w:eastAsia="Times New Roman" w:hAnsi="Cambria" w:cs="Times New Roman"/>
      <w:b/>
      <w:bCs/>
      <w:kern w:val="32"/>
      <w:sz w:val="32"/>
      <w:szCs w:val="32"/>
      <w:lang w:val="en-GB"/>
    </w:rPr>
  </w:style>
  <w:style w:type="paragraph" w:styleId="berschrift2">
    <w:name w:val="heading 2"/>
    <w:basedOn w:val="Standard"/>
    <w:next w:val="Standard"/>
    <w:link w:val="berschrift2Zchn"/>
    <w:uiPriority w:val="9"/>
    <w:qFormat/>
    <w:rsid w:val="00A868DF"/>
    <w:pPr>
      <w:keepNext/>
      <w:spacing w:before="240" w:after="60"/>
      <w:outlineLvl w:val="1"/>
    </w:pPr>
    <w:rPr>
      <w:rFonts w:ascii="Cambria" w:eastAsia="Times New Roman" w:hAnsi="Cambria" w:cs="Times New Roman"/>
      <w:b/>
      <w:bCs/>
      <w:i/>
      <w:iCs/>
      <w:sz w:val="28"/>
      <w:szCs w:val="28"/>
      <w:lang w:val="en-GB"/>
    </w:rPr>
  </w:style>
  <w:style w:type="paragraph" w:styleId="berschrift3">
    <w:name w:val="heading 3"/>
    <w:basedOn w:val="Standard"/>
    <w:next w:val="Standard"/>
    <w:link w:val="berschrift3Zchn"/>
    <w:uiPriority w:val="9"/>
    <w:unhideWhenUsed/>
    <w:qFormat/>
    <w:rsid w:val="00C3714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chmalesLeerzeichen">
    <w:name w:val="schmales Leerzeichen"/>
    <w:basedOn w:val="Absatz-Standardschriftart"/>
    <w:uiPriority w:val="1"/>
    <w:qFormat/>
    <w:rsid w:val="00DF7A02"/>
    <w:rPr>
      <w:rFonts w:ascii="Times New Roman" w:hAnsi="Times New Roman" w:cs="Times New Roman"/>
      <w:spacing w:val="-20"/>
    </w:rPr>
  </w:style>
  <w:style w:type="paragraph" w:styleId="Kopfzeile">
    <w:name w:val="header"/>
    <w:basedOn w:val="Standard"/>
    <w:link w:val="KopfzeileZchn"/>
    <w:uiPriority w:val="99"/>
    <w:unhideWhenUsed/>
    <w:rsid w:val="00AE3C2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E3C28"/>
  </w:style>
  <w:style w:type="paragraph" w:styleId="Fuzeile">
    <w:name w:val="footer"/>
    <w:basedOn w:val="Standard"/>
    <w:link w:val="FuzeileZchn"/>
    <w:unhideWhenUsed/>
    <w:rsid w:val="00AE3C28"/>
    <w:pPr>
      <w:tabs>
        <w:tab w:val="center" w:pos="4536"/>
        <w:tab w:val="right" w:pos="9072"/>
      </w:tabs>
      <w:spacing w:after="0" w:line="240" w:lineRule="auto"/>
    </w:pPr>
  </w:style>
  <w:style w:type="character" w:customStyle="1" w:styleId="FuzeileZchn">
    <w:name w:val="Fußzeile Zchn"/>
    <w:basedOn w:val="Absatz-Standardschriftart"/>
    <w:link w:val="Fuzeile"/>
    <w:rsid w:val="00AE3C28"/>
  </w:style>
  <w:style w:type="paragraph" w:styleId="Titel">
    <w:name w:val="Title"/>
    <w:basedOn w:val="Standard"/>
    <w:next w:val="Standard"/>
    <w:link w:val="TitelZchn"/>
    <w:uiPriority w:val="10"/>
    <w:qFormat/>
    <w:rsid w:val="00AE3C2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AE3C28"/>
    <w:rPr>
      <w:rFonts w:asciiTheme="majorHAnsi" w:eastAsiaTheme="majorEastAsia" w:hAnsiTheme="majorHAnsi" w:cstheme="majorBidi"/>
      <w:color w:val="17365D" w:themeColor="text2" w:themeShade="BF"/>
      <w:spacing w:val="5"/>
      <w:kern w:val="28"/>
      <w:sz w:val="52"/>
      <w:szCs w:val="52"/>
    </w:rPr>
  </w:style>
  <w:style w:type="paragraph" w:styleId="Listenabsatz">
    <w:name w:val="List Paragraph"/>
    <w:basedOn w:val="Standard"/>
    <w:uiPriority w:val="34"/>
    <w:qFormat/>
    <w:rsid w:val="005D19F5"/>
    <w:pPr>
      <w:ind w:left="720"/>
      <w:contextualSpacing/>
    </w:pPr>
  </w:style>
  <w:style w:type="paragraph" w:styleId="Kommentartext">
    <w:name w:val="annotation text"/>
    <w:basedOn w:val="Standard"/>
    <w:link w:val="KommentartextZchn"/>
    <w:uiPriority w:val="99"/>
    <w:semiHidden/>
    <w:unhideWhenUsed/>
    <w:rsid w:val="00AA5ED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A5ED0"/>
    <w:rPr>
      <w:sz w:val="20"/>
      <w:szCs w:val="20"/>
    </w:rPr>
  </w:style>
  <w:style w:type="character" w:styleId="Kommentarzeichen">
    <w:name w:val="annotation reference"/>
    <w:basedOn w:val="Absatz-Standardschriftart"/>
    <w:uiPriority w:val="99"/>
    <w:semiHidden/>
    <w:unhideWhenUsed/>
    <w:rsid w:val="00AA5ED0"/>
    <w:rPr>
      <w:sz w:val="16"/>
      <w:szCs w:val="16"/>
    </w:rPr>
  </w:style>
  <w:style w:type="paragraph" w:styleId="Sprechblasentext">
    <w:name w:val="Balloon Text"/>
    <w:basedOn w:val="Standard"/>
    <w:link w:val="SprechblasentextZchn"/>
    <w:uiPriority w:val="99"/>
    <w:semiHidden/>
    <w:unhideWhenUsed/>
    <w:rsid w:val="00D508E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508E8"/>
    <w:rPr>
      <w:rFonts w:ascii="Tahoma" w:hAnsi="Tahoma" w:cs="Tahoma"/>
      <w:sz w:val="16"/>
      <w:szCs w:val="16"/>
    </w:rPr>
  </w:style>
  <w:style w:type="character" w:styleId="Hyperlink">
    <w:name w:val="Hyperlink"/>
    <w:basedOn w:val="Absatz-Standardschriftart"/>
    <w:uiPriority w:val="99"/>
    <w:unhideWhenUsed/>
    <w:rsid w:val="000616C2"/>
    <w:rPr>
      <w:color w:val="0000FF" w:themeColor="hyperlink"/>
      <w:u w:val="single"/>
    </w:rPr>
  </w:style>
  <w:style w:type="paragraph" w:styleId="Funotentext">
    <w:name w:val="footnote text"/>
    <w:basedOn w:val="Standard"/>
    <w:link w:val="FunotentextZchn"/>
    <w:uiPriority w:val="99"/>
    <w:semiHidden/>
    <w:unhideWhenUsed/>
    <w:rsid w:val="001B354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1B3548"/>
    <w:rPr>
      <w:sz w:val="20"/>
      <w:szCs w:val="20"/>
    </w:rPr>
  </w:style>
  <w:style w:type="character" w:styleId="Funotenzeichen">
    <w:name w:val="footnote reference"/>
    <w:basedOn w:val="Absatz-Standardschriftart"/>
    <w:uiPriority w:val="99"/>
    <w:semiHidden/>
    <w:unhideWhenUsed/>
    <w:rsid w:val="001B3548"/>
    <w:rPr>
      <w:vertAlign w:val="superscript"/>
    </w:rPr>
  </w:style>
  <w:style w:type="character" w:customStyle="1" w:styleId="berschrift1Zchn">
    <w:name w:val="Überschrift 1 Zchn"/>
    <w:basedOn w:val="Absatz-Standardschriftart"/>
    <w:link w:val="berschrift1"/>
    <w:uiPriority w:val="9"/>
    <w:rsid w:val="00A868DF"/>
    <w:rPr>
      <w:rFonts w:ascii="Cambria" w:eastAsia="Times New Roman" w:hAnsi="Cambria" w:cs="Times New Roman"/>
      <w:b/>
      <w:bCs/>
      <w:kern w:val="32"/>
      <w:sz w:val="32"/>
      <w:szCs w:val="32"/>
      <w:lang w:val="en-GB"/>
    </w:rPr>
  </w:style>
  <w:style w:type="character" w:customStyle="1" w:styleId="berschrift2Zchn">
    <w:name w:val="Überschrift 2 Zchn"/>
    <w:basedOn w:val="Absatz-Standardschriftart"/>
    <w:link w:val="berschrift2"/>
    <w:uiPriority w:val="9"/>
    <w:rsid w:val="00A868DF"/>
    <w:rPr>
      <w:rFonts w:ascii="Cambria" w:eastAsia="Times New Roman" w:hAnsi="Cambria" w:cs="Times New Roman"/>
      <w:b/>
      <w:bCs/>
      <w:i/>
      <w:iCs/>
      <w:sz w:val="28"/>
      <w:szCs w:val="28"/>
      <w:lang w:val="en-GB"/>
    </w:rPr>
  </w:style>
  <w:style w:type="character" w:customStyle="1" w:styleId="berschrift3Zchn">
    <w:name w:val="Überschrift 3 Zchn"/>
    <w:basedOn w:val="Absatz-Standardschriftart"/>
    <w:link w:val="berschrift3"/>
    <w:uiPriority w:val="9"/>
    <w:rsid w:val="00C37143"/>
    <w:rPr>
      <w:rFonts w:asciiTheme="majorHAnsi" w:eastAsiaTheme="majorEastAsia" w:hAnsiTheme="majorHAnsi" w:cstheme="majorBidi"/>
      <w:color w:val="243F60" w:themeColor="accent1" w:themeShade="7F"/>
      <w:sz w:val="24"/>
      <w:szCs w:val="24"/>
    </w:rPr>
  </w:style>
  <w:style w:type="paragraph" w:styleId="Untertitel">
    <w:name w:val="Subtitle"/>
    <w:basedOn w:val="Standard"/>
    <w:next w:val="Standard"/>
    <w:link w:val="UntertitelZchn"/>
    <w:uiPriority w:val="11"/>
    <w:qFormat/>
    <w:rsid w:val="00C37143"/>
    <w:pPr>
      <w:numPr>
        <w:ilvl w:val="1"/>
      </w:numPr>
      <w:spacing w:after="160"/>
    </w:pPr>
    <w:rPr>
      <w:color w:val="5A5A5A" w:themeColor="text1" w:themeTint="A5"/>
      <w:spacing w:val="15"/>
    </w:rPr>
  </w:style>
  <w:style w:type="character" w:customStyle="1" w:styleId="UntertitelZchn">
    <w:name w:val="Untertitel Zchn"/>
    <w:basedOn w:val="Absatz-Standardschriftart"/>
    <w:link w:val="Untertitel"/>
    <w:uiPriority w:val="11"/>
    <w:rsid w:val="00C37143"/>
    <w:rPr>
      <w:color w:val="5A5A5A" w:themeColor="text1" w:themeTint="A5"/>
      <w:spacing w:val="15"/>
    </w:rPr>
  </w:style>
</w:styles>
</file>

<file path=word/webSettings.xml><?xml version="1.0" encoding="utf-8"?>
<w:webSettings xmlns:r="http://schemas.openxmlformats.org/officeDocument/2006/relationships" xmlns:w="http://schemas.openxmlformats.org/wordprocessingml/2006/main">
  <w:divs>
    <w:div w:id="267348132">
      <w:bodyDiv w:val="1"/>
      <w:marLeft w:val="0"/>
      <w:marRight w:val="0"/>
      <w:marTop w:val="0"/>
      <w:marBottom w:val="0"/>
      <w:divBdr>
        <w:top w:val="none" w:sz="0" w:space="0" w:color="auto"/>
        <w:left w:val="none" w:sz="0" w:space="0" w:color="auto"/>
        <w:bottom w:val="none" w:sz="0" w:space="0" w:color="auto"/>
        <w:right w:val="none" w:sz="0" w:space="0" w:color="auto"/>
      </w:divBdr>
    </w:div>
    <w:div w:id="451821660">
      <w:bodyDiv w:val="1"/>
      <w:marLeft w:val="0"/>
      <w:marRight w:val="0"/>
      <w:marTop w:val="0"/>
      <w:marBottom w:val="0"/>
      <w:divBdr>
        <w:top w:val="none" w:sz="0" w:space="0" w:color="auto"/>
        <w:left w:val="none" w:sz="0" w:space="0" w:color="auto"/>
        <w:bottom w:val="none" w:sz="0" w:space="0" w:color="auto"/>
        <w:right w:val="none" w:sz="0" w:space="0" w:color="auto"/>
      </w:divBdr>
    </w:div>
    <w:div w:id="584652178">
      <w:bodyDiv w:val="1"/>
      <w:marLeft w:val="0"/>
      <w:marRight w:val="0"/>
      <w:marTop w:val="0"/>
      <w:marBottom w:val="0"/>
      <w:divBdr>
        <w:top w:val="none" w:sz="0" w:space="0" w:color="auto"/>
        <w:left w:val="none" w:sz="0" w:space="0" w:color="auto"/>
        <w:bottom w:val="none" w:sz="0" w:space="0" w:color="auto"/>
        <w:right w:val="none" w:sz="0" w:space="0" w:color="auto"/>
      </w:divBdr>
    </w:div>
    <w:div w:id="621038663">
      <w:bodyDiv w:val="1"/>
      <w:marLeft w:val="0"/>
      <w:marRight w:val="0"/>
      <w:marTop w:val="0"/>
      <w:marBottom w:val="0"/>
      <w:divBdr>
        <w:top w:val="none" w:sz="0" w:space="0" w:color="auto"/>
        <w:left w:val="none" w:sz="0" w:space="0" w:color="auto"/>
        <w:bottom w:val="none" w:sz="0" w:space="0" w:color="auto"/>
        <w:right w:val="none" w:sz="0" w:space="0" w:color="auto"/>
      </w:divBdr>
      <w:divsChild>
        <w:div w:id="580527686">
          <w:marLeft w:val="360"/>
          <w:marRight w:val="0"/>
          <w:marTop w:val="72"/>
          <w:marBottom w:val="0"/>
          <w:divBdr>
            <w:top w:val="none" w:sz="0" w:space="0" w:color="auto"/>
            <w:left w:val="none" w:sz="0" w:space="0" w:color="auto"/>
            <w:bottom w:val="none" w:sz="0" w:space="0" w:color="auto"/>
            <w:right w:val="none" w:sz="0" w:space="0" w:color="auto"/>
          </w:divBdr>
        </w:div>
        <w:div w:id="1725837627">
          <w:marLeft w:val="360"/>
          <w:marRight w:val="0"/>
          <w:marTop w:val="72"/>
          <w:marBottom w:val="0"/>
          <w:divBdr>
            <w:top w:val="none" w:sz="0" w:space="0" w:color="auto"/>
            <w:left w:val="none" w:sz="0" w:space="0" w:color="auto"/>
            <w:bottom w:val="none" w:sz="0" w:space="0" w:color="auto"/>
            <w:right w:val="none" w:sz="0" w:space="0" w:color="auto"/>
          </w:divBdr>
        </w:div>
        <w:div w:id="953099417">
          <w:marLeft w:val="360"/>
          <w:marRight w:val="0"/>
          <w:marTop w:val="72"/>
          <w:marBottom w:val="0"/>
          <w:divBdr>
            <w:top w:val="none" w:sz="0" w:space="0" w:color="auto"/>
            <w:left w:val="none" w:sz="0" w:space="0" w:color="auto"/>
            <w:bottom w:val="none" w:sz="0" w:space="0" w:color="auto"/>
            <w:right w:val="none" w:sz="0" w:space="0" w:color="auto"/>
          </w:divBdr>
        </w:div>
      </w:divsChild>
    </w:div>
    <w:div w:id="696856273">
      <w:bodyDiv w:val="1"/>
      <w:marLeft w:val="0"/>
      <w:marRight w:val="0"/>
      <w:marTop w:val="0"/>
      <w:marBottom w:val="0"/>
      <w:divBdr>
        <w:top w:val="none" w:sz="0" w:space="0" w:color="auto"/>
        <w:left w:val="none" w:sz="0" w:space="0" w:color="auto"/>
        <w:bottom w:val="none" w:sz="0" w:space="0" w:color="auto"/>
        <w:right w:val="none" w:sz="0" w:space="0" w:color="auto"/>
      </w:divBdr>
    </w:div>
    <w:div w:id="925653819">
      <w:bodyDiv w:val="1"/>
      <w:marLeft w:val="0"/>
      <w:marRight w:val="0"/>
      <w:marTop w:val="0"/>
      <w:marBottom w:val="0"/>
      <w:divBdr>
        <w:top w:val="none" w:sz="0" w:space="0" w:color="auto"/>
        <w:left w:val="none" w:sz="0" w:space="0" w:color="auto"/>
        <w:bottom w:val="none" w:sz="0" w:space="0" w:color="auto"/>
        <w:right w:val="none" w:sz="0" w:space="0" w:color="auto"/>
      </w:divBdr>
    </w:div>
    <w:div w:id="1051153361">
      <w:bodyDiv w:val="1"/>
      <w:marLeft w:val="0"/>
      <w:marRight w:val="0"/>
      <w:marTop w:val="0"/>
      <w:marBottom w:val="0"/>
      <w:divBdr>
        <w:top w:val="none" w:sz="0" w:space="0" w:color="auto"/>
        <w:left w:val="none" w:sz="0" w:space="0" w:color="auto"/>
        <w:bottom w:val="none" w:sz="0" w:space="0" w:color="auto"/>
        <w:right w:val="none" w:sz="0" w:space="0" w:color="auto"/>
      </w:divBdr>
      <w:divsChild>
        <w:div w:id="1122961851">
          <w:marLeft w:val="0"/>
          <w:marRight w:val="0"/>
          <w:marTop w:val="0"/>
          <w:marBottom w:val="0"/>
          <w:divBdr>
            <w:top w:val="none" w:sz="0" w:space="0" w:color="auto"/>
            <w:left w:val="none" w:sz="0" w:space="0" w:color="auto"/>
            <w:bottom w:val="none" w:sz="0" w:space="0" w:color="auto"/>
            <w:right w:val="none" w:sz="0" w:space="0" w:color="auto"/>
          </w:divBdr>
        </w:div>
        <w:div w:id="1736776454">
          <w:marLeft w:val="0"/>
          <w:marRight w:val="0"/>
          <w:marTop w:val="0"/>
          <w:marBottom w:val="0"/>
          <w:divBdr>
            <w:top w:val="none" w:sz="0" w:space="0" w:color="auto"/>
            <w:left w:val="none" w:sz="0" w:space="0" w:color="auto"/>
            <w:bottom w:val="none" w:sz="0" w:space="0" w:color="auto"/>
            <w:right w:val="none" w:sz="0" w:space="0" w:color="auto"/>
          </w:divBdr>
        </w:div>
        <w:div w:id="1383019772">
          <w:marLeft w:val="0"/>
          <w:marRight w:val="0"/>
          <w:marTop w:val="0"/>
          <w:marBottom w:val="0"/>
          <w:divBdr>
            <w:top w:val="none" w:sz="0" w:space="0" w:color="auto"/>
            <w:left w:val="none" w:sz="0" w:space="0" w:color="auto"/>
            <w:bottom w:val="none" w:sz="0" w:space="0" w:color="auto"/>
            <w:right w:val="none" w:sz="0" w:space="0" w:color="auto"/>
          </w:divBdr>
        </w:div>
        <w:div w:id="1342199727">
          <w:marLeft w:val="0"/>
          <w:marRight w:val="0"/>
          <w:marTop w:val="0"/>
          <w:marBottom w:val="0"/>
          <w:divBdr>
            <w:top w:val="none" w:sz="0" w:space="0" w:color="auto"/>
            <w:left w:val="none" w:sz="0" w:space="0" w:color="auto"/>
            <w:bottom w:val="none" w:sz="0" w:space="0" w:color="auto"/>
            <w:right w:val="none" w:sz="0" w:space="0" w:color="auto"/>
          </w:divBdr>
        </w:div>
        <w:div w:id="1689215604">
          <w:marLeft w:val="0"/>
          <w:marRight w:val="0"/>
          <w:marTop w:val="0"/>
          <w:marBottom w:val="0"/>
          <w:divBdr>
            <w:top w:val="none" w:sz="0" w:space="0" w:color="auto"/>
            <w:left w:val="none" w:sz="0" w:space="0" w:color="auto"/>
            <w:bottom w:val="none" w:sz="0" w:space="0" w:color="auto"/>
            <w:right w:val="none" w:sz="0" w:space="0" w:color="auto"/>
          </w:divBdr>
        </w:div>
        <w:div w:id="565382362">
          <w:marLeft w:val="0"/>
          <w:marRight w:val="0"/>
          <w:marTop w:val="0"/>
          <w:marBottom w:val="0"/>
          <w:divBdr>
            <w:top w:val="none" w:sz="0" w:space="0" w:color="auto"/>
            <w:left w:val="none" w:sz="0" w:space="0" w:color="auto"/>
            <w:bottom w:val="none" w:sz="0" w:space="0" w:color="auto"/>
            <w:right w:val="none" w:sz="0" w:space="0" w:color="auto"/>
          </w:divBdr>
        </w:div>
        <w:div w:id="359623715">
          <w:marLeft w:val="0"/>
          <w:marRight w:val="0"/>
          <w:marTop w:val="0"/>
          <w:marBottom w:val="0"/>
          <w:divBdr>
            <w:top w:val="none" w:sz="0" w:space="0" w:color="auto"/>
            <w:left w:val="none" w:sz="0" w:space="0" w:color="auto"/>
            <w:bottom w:val="none" w:sz="0" w:space="0" w:color="auto"/>
            <w:right w:val="none" w:sz="0" w:space="0" w:color="auto"/>
          </w:divBdr>
        </w:div>
        <w:div w:id="692268553">
          <w:marLeft w:val="0"/>
          <w:marRight w:val="0"/>
          <w:marTop w:val="0"/>
          <w:marBottom w:val="0"/>
          <w:divBdr>
            <w:top w:val="none" w:sz="0" w:space="0" w:color="auto"/>
            <w:left w:val="none" w:sz="0" w:space="0" w:color="auto"/>
            <w:bottom w:val="none" w:sz="0" w:space="0" w:color="auto"/>
            <w:right w:val="none" w:sz="0" w:space="0" w:color="auto"/>
          </w:divBdr>
        </w:div>
        <w:div w:id="431248813">
          <w:marLeft w:val="0"/>
          <w:marRight w:val="0"/>
          <w:marTop w:val="0"/>
          <w:marBottom w:val="0"/>
          <w:divBdr>
            <w:top w:val="none" w:sz="0" w:space="0" w:color="auto"/>
            <w:left w:val="none" w:sz="0" w:space="0" w:color="auto"/>
            <w:bottom w:val="none" w:sz="0" w:space="0" w:color="auto"/>
            <w:right w:val="none" w:sz="0" w:space="0" w:color="auto"/>
          </w:divBdr>
        </w:div>
        <w:div w:id="1844663938">
          <w:marLeft w:val="0"/>
          <w:marRight w:val="0"/>
          <w:marTop w:val="0"/>
          <w:marBottom w:val="0"/>
          <w:divBdr>
            <w:top w:val="none" w:sz="0" w:space="0" w:color="auto"/>
            <w:left w:val="none" w:sz="0" w:space="0" w:color="auto"/>
            <w:bottom w:val="none" w:sz="0" w:space="0" w:color="auto"/>
            <w:right w:val="none" w:sz="0" w:space="0" w:color="auto"/>
          </w:divBdr>
        </w:div>
        <w:div w:id="1573732305">
          <w:marLeft w:val="0"/>
          <w:marRight w:val="0"/>
          <w:marTop w:val="0"/>
          <w:marBottom w:val="0"/>
          <w:divBdr>
            <w:top w:val="none" w:sz="0" w:space="0" w:color="auto"/>
            <w:left w:val="none" w:sz="0" w:space="0" w:color="auto"/>
            <w:bottom w:val="none" w:sz="0" w:space="0" w:color="auto"/>
            <w:right w:val="none" w:sz="0" w:space="0" w:color="auto"/>
          </w:divBdr>
        </w:div>
      </w:divsChild>
    </w:div>
    <w:div w:id="1451321563">
      <w:bodyDiv w:val="1"/>
      <w:marLeft w:val="0"/>
      <w:marRight w:val="0"/>
      <w:marTop w:val="0"/>
      <w:marBottom w:val="0"/>
      <w:divBdr>
        <w:top w:val="none" w:sz="0" w:space="0" w:color="auto"/>
        <w:left w:val="none" w:sz="0" w:space="0" w:color="auto"/>
        <w:bottom w:val="none" w:sz="0" w:space="0" w:color="auto"/>
        <w:right w:val="none" w:sz="0" w:space="0" w:color="auto"/>
      </w:divBdr>
      <w:divsChild>
        <w:div w:id="1114593322">
          <w:marLeft w:val="0"/>
          <w:marRight w:val="0"/>
          <w:marTop w:val="0"/>
          <w:marBottom w:val="0"/>
          <w:divBdr>
            <w:top w:val="none" w:sz="0" w:space="0" w:color="auto"/>
            <w:left w:val="none" w:sz="0" w:space="0" w:color="auto"/>
            <w:bottom w:val="none" w:sz="0" w:space="0" w:color="auto"/>
            <w:right w:val="none" w:sz="0" w:space="0" w:color="auto"/>
          </w:divBdr>
        </w:div>
        <w:div w:id="1940749027">
          <w:marLeft w:val="0"/>
          <w:marRight w:val="0"/>
          <w:marTop w:val="0"/>
          <w:marBottom w:val="0"/>
          <w:divBdr>
            <w:top w:val="none" w:sz="0" w:space="0" w:color="auto"/>
            <w:left w:val="none" w:sz="0" w:space="0" w:color="auto"/>
            <w:bottom w:val="none" w:sz="0" w:space="0" w:color="auto"/>
            <w:right w:val="none" w:sz="0" w:space="0" w:color="auto"/>
          </w:divBdr>
        </w:div>
        <w:div w:id="120193741">
          <w:marLeft w:val="0"/>
          <w:marRight w:val="0"/>
          <w:marTop w:val="0"/>
          <w:marBottom w:val="0"/>
          <w:divBdr>
            <w:top w:val="none" w:sz="0" w:space="0" w:color="auto"/>
            <w:left w:val="none" w:sz="0" w:space="0" w:color="auto"/>
            <w:bottom w:val="none" w:sz="0" w:space="0" w:color="auto"/>
            <w:right w:val="none" w:sz="0" w:space="0" w:color="auto"/>
          </w:divBdr>
        </w:div>
        <w:div w:id="1801651558">
          <w:marLeft w:val="0"/>
          <w:marRight w:val="0"/>
          <w:marTop w:val="0"/>
          <w:marBottom w:val="0"/>
          <w:divBdr>
            <w:top w:val="none" w:sz="0" w:space="0" w:color="auto"/>
            <w:left w:val="none" w:sz="0" w:space="0" w:color="auto"/>
            <w:bottom w:val="none" w:sz="0" w:space="0" w:color="auto"/>
            <w:right w:val="none" w:sz="0" w:space="0" w:color="auto"/>
          </w:divBdr>
        </w:div>
        <w:div w:id="607278084">
          <w:marLeft w:val="0"/>
          <w:marRight w:val="0"/>
          <w:marTop w:val="0"/>
          <w:marBottom w:val="0"/>
          <w:divBdr>
            <w:top w:val="none" w:sz="0" w:space="0" w:color="auto"/>
            <w:left w:val="none" w:sz="0" w:space="0" w:color="auto"/>
            <w:bottom w:val="none" w:sz="0" w:space="0" w:color="auto"/>
            <w:right w:val="none" w:sz="0" w:space="0" w:color="auto"/>
          </w:divBdr>
        </w:div>
        <w:div w:id="916330196">
          <w:marLeft w:val="0"/>
          <w:marRight w:val="0"/>
          <w:marTop w:val="0"/>
          <w:marBottom w:val="0"/>
          <w:divBdr>
            <w:top w:val="none" w:sz="0" w:space="0" w:color="auto"/>
            <w:left w:val="none" w:sz="0" w:space="0" w:color="auto"/>
            <w:bottom w:val="none" w:sz="0" w:space="0" w:color="auto"/>
            <w:right w:val="none" w:sz="0" w:space="0" w:color="auto"/>
          </w:divBdr>
        </w:div>
        <w:div w:id="1637300052">
          <w:marLeft w:val="0"/>
          <w:marRight w:val="0"/>
          <w:marTop w:val="0"/>
          <w:marBottom w:val="0"/>
          <w:divBdr>
            <w:top w:val="none" w:sz="0" w:space="0" w:color="auto"/>
            <w:left w:val="none" w:sz="0" w:space="0" w:color="auto"/>
            <w:bottom w:val="none" w:sz="0" w:space="0" w:color="auto"/>
            <w:right w:val="none" w:sz="0" w:space="0" w:color="auto"/>
          </w:divBdr>
        </w:div>
        <w:div w:id="558907107">
          <w:marLeft w:val="0"/>
          <w:marRight w:val="0"/>
          <w:marTop w:val="0"/>
          <w:marBottom w:val="0"/>
          <w:divBdr>
            <w:top w:val="none" w:sz="0" w:space="0" w:color="auto"/>
            <w:left w:val="none" w:sz="0" w:space="0" w:color="auto"/>
            <w:bottom w:val="none" w:sz="0" w:space="0" w:color="auto"/>
            <w:right w:val="none" w:sz="0" w:space="0" w:color="auto"/>
          </w:divBdr>
        </w:div>
        <w:div w:id="517423751">
          <w:marLeft w:val="0"/>
          <w:marRight w:val="0"/>
          <w:marTop w:val="0"/>
          <w:marBottom w:val="0"/>
          <w:divBdr>
            <w:top w:val="none" w:sz="0" w:space="0" w:color="auto"/>
            <w:left w:val="none" w:sz="0" w:space="0" w:color="auto"/>
            <w:bottom w:val="none" w:sz="0" w:space="0" w:color="auto"/>
            <w:right w:val="none" w:sz="0" w:space="0" w:color="auto"/>
          </w:divBdr>
        </w:div>
      </w:divsChild>
    </w:div>
    <w:div w:id="1770932379">
      <w:bodyDiv w:val="1"/>
      <w:marLeft w:val="0"/>
      <w:marRight w:val="0"/>
      <w:marTop w:val="0"/>
      <w:marBottom w:val="0"/>
      <w:divBdr>
        <w:top w:val="none" w:sz="0" w:space="0" w:color="auto"/>
        <w:left w:val="none" w:sz="0" w:space="0" w:color="auto"/>
        <w:bottom w:val="none" w:sz="0" w:space="0" w:color="auto"/>
        <w:right w:val="none" w:sz="0" w:space="0" w:color="auto"/>
      </w:divBdr>
      <w:divsChild>
        <w:div w:id="2112165472">
          <w:marLeft w:val="0"/>
          <w:marRight w:val="0"/>
          <w:marTop w:val="0"/>
          <w:marBottom w:val="0"/>
          <w:divBdr>
            <w:top w:val="none" w:sz="0" w:space="0" w:color="auto"/>
            <w:left w:val="none" w:sz="0" w:space="0" w:color="auto"/>
            <w:bottom w:val="none" w:sz="0" w:space="0" w:color="auto"/>
            <w:right w:val="none" w:sz="0" w:space="0" w:color="auto"/>
          </w:divBdr>
          <w:divsChild>
            <w:div w:id="1326201974">
              <w:marLeft w:val="0"/>
              <w:marRight w:val="0"/>
              <w:marTop w:val="0"/>
              <w:marBottom w:val="0"/>
              <w:divBdr>
                <w:top w:val="none" w:sz="0" w:space="0" w:color="auto"/>
                <w:left w:val="none" w:sz="0" w:space="0" w:color="auto"/>
                <w:bottom w:val="none" w:sz="0" w:space="0" w:color="auto"/>
                <w:right w:val="none" w:sz="0" w:space="0" w:color="auto"/>
              </w:divBdr>
            </w:div>
            <w:div w:id="599488812">
              <w:marLeft w:val="0"/>
              <w:marRight w:val="0"/>
              <w:marTop w:val="0"/>
              <w:marBottom w:val="0"/>
              <w:divBdr>
                <w:top w:val="none" w:sz="0" w:space="0" w:color="auto"/>
                <w:left w:val="none" w:sz="0" w:space="0" w:color="auto"/>
                <w:bottom w:val="none" w:sz="0" w:space="0" w:color="auto"/>
                <w:right w:val="none" w:sz="0" w:space="0" w:color="auto"/>
              </w:divBdr>
            </w:div>
            <w:div w:id="993604646">
              <w:marLeft w:val="0"/>
              <w:marRight w:val="0"/>
              <w:marTop w:val="0"/>
              <w:marBottom w:val="0"/>
              <w:divBdr>
                <w:top w:val="none" w:sz="0" w:space="0" w:color="auto"/>
                <w:left w:val="none" w:sz="0" w:space="0" w:color="auto"/>
                <w:bottom w:val="none" w:sz="0" w:space="0" w:color="auto"/>
                <w:right w:val="none" w:sz="0" w:space="0" w:color="auto"/>
              </w:divBdr>
            </w:div>
            <w:div w:id="1052534246">
              <w:marLeft w:val="0"/>
              <w:marRight w:val="0"/>
              <w:marTop w:val="0"/>
              <w:marBottom w:val="0"/>
              <w:divBdr>
                <w:top w:val="none" w:sz="0" w:space="0" w:color="auto"/>
                <w:left w:val="none" w:sz="0" w:space="0" w:color="auto"/>
                <w:bottom w:val="none" w:sz="0" w:space="0" w:color="auto"/>
                <w:right w:val="none" w:sz="0" w:space="0" w:color="auto"/>
              </w:divBdr>
            </w:div>
            <w:div w:id="1405688518">
              <w:marLeft w:val="0"/>
              <w:marRight w:val="0"/>
              <w:marTop w:val="0"/>
              <w:marBottom w:val="0"/>
              <w:divBdr>
                <w:top w:val="none" w:sz="0" w:space="0" w:color="auto"/>
                <w:left w:val="none" w:sz="0" w:space="0" w:color="auto"/>
                <w:bottom w:val="none" w:sz="0" w:space="0" w:color="auto"/>
                <w:right w:val="none" w:sz="0" w:space="0" w:color="auto"/>
              </w:divBdr>
            </w:div>
            <w:div w:id="1000431097">
              <w:marLeft w:val="0"/>
              <w:marRight w:val="0"/>
              <w:marTop w:val="0"/>
              <w:marBottom w:val="0"/>
              <w:divBdr>
                <w:top w:val="none" w:sz="0" w:space="0" w:color="auto"/>
                <w:left w:val="none" w:sz="0" w:space="0" w:color="auto"/>
                <w:bottom w:val="none" w:sz="0" w:space="0" w:color="auto"/>
                <w:right w:val="none" w:sz="0" w:space="0" w:color="auto"/>
              </w:divBdr>
            </w:div>
            <w:div w:id="848132670">
              <w:marLeft w:val="0"/>
              <w:marRight w:val="0"/>
              <w:marTop w:val="0"/>
              <w:marBottom w:val="0"/>
              <w:divBdr>
                <w:top w:val="none" w:sz="0" w:space="0" w:color="auto"/>
                <w:left w:val="none" w:sz="0" w:space="0" w:color="auto"/>
                <w:bottom w:val="none" w:sz="0" w:space="0" w:color="auto"/>
                <w:right w:val="none" w:sz="0" w:space="0" w:color="auto"/>
              </w:divBdr>
            </w:div>
            <w:div w:id="972948833">
              <w:marLeft w:val="0"/>
              <w:marRight w:val="0"/>
              <w:marTop w:val="0"/>
              <w:marBottom w:val="0"/>
              <w:divBdr>
                <w:top w:val="none" w:sz="0" w:space="0" w:color="auto"/>
                <w:left w:val="none" w:sz="0" w:space="0" w:color="auto"/>
                <w:bottom w:val="none" w:sz="0" w:space="0" w:color="auto"/>
                <w:right w:val="none" w:sz="0" w:space="0" w:color="auto"/>
              </w:divBdr>
            </w:div>
            <w:div w:id="1922447076">
              <w:marLeft w:val="0"/>
              <w:marRight w:val="0"/>
              <w:marTop w:val="0"/>
              <w:marBottom w:val="0"/>
              <w:divBdr>
                <w:top w:val="none" w:sz="0" w:space="0" w:color="auto"/>
                <w:left w:val="none" w:sz="0" w:space="0" w:color="auto"/>
                <w:bottom w:val="none" w:sz="0" w:space="0" w:color="auto"/>
                <w:right w:val="none" w:sz="0" w:space="0" w:color="auto"/>
              </w:divBdr>
            </w:div>
            <w:div w:id="1441754617">
              <w:marLeft w:val="0"/>
              <w:marRight w:val="0"/>
              <w:marTop w:val="0"/>
              <w:marBottom w:val="0"/>
              <w:divBdr>
                <w:top w:val="none" w:sz="0" w:space="0" w:color="auto"/>
                <w:left w:val="none" w:sz="0" w:space="0" w:color="auto"/>
                <w:bottom w:val="none" w:sz="0" w:space="0" w:color="auto"/>
                <w:right w:val="none" w:sz="0" w:space="0" w:color="auto"/>
              </w:divBdr>
            </w:div>
            <w:div w:id="511335184">
              <w:marLeft w:val="0"/>
              <w:marRight w:val="0"/>
              <w:marTop w:val="0"/>
              <w:marBottom w:val="0"/>
              <w:divBdr>
                <w:top w:val="none" w:sz="0" w:space="0" w:color="auto"/>
                <w:left w:val="none" w:sz="0" w:space="0" w:color="auto"/>
                <w:bottom w:val="none" w:sz="0" w:space="0" w:color="auto"/>
                <w:right w:val="none" w:sz="0" w:space="0" w:color="auto"/>
              </w:divBdr>
            </w:div>
            <w:div w:id="20198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118714">
      <w:bodyDiv w:val="1"/>
      <w:marLeft w:val="0"/>
      <w:marRight w:val="0"/>
      <w:marTop w:val="0"/>
      <w:marBottom w:val="0"/>
      <w:divBdr>
        <w:top w:val="none" w:sz="0" w:space="0" w:color="auto"/>
        <w:left w:val="none" w:sz="0" w:space="0" w:color="auto"/>
        <w:bottom w:val="none" w:sz="0" w:space="0" w:color="auto"/>
        <w:right w:val="none" w:sz="0" w:space="0" w:color="auto"/>
      </w:divBdr>
      <w:divsChild>
        <w:div w:id="1018048240">
          <w:marLeft w:val="0"/>
          <w:marRight w:val="0"/>
          <w:marTop w:val="0"/>
          <w:marBottom w:val="0"/>
          <w:divBdr>
            <w:top w:val="none" w:sz="0" w:space="0" w:color="auto"/>
            <w:left w:val="none" w:sz="0" w:space="0" w:color="auto"/>
            <w:bottom w:val="none" w:sz="0" w:space="0" w:color="auto"/>
            <w:right w:val="none" w:sz="0" w:space="0" w:color="auto"/>
          </w:divBdr>
        </w:div>
        <w:div w:id="1013341963">
          <w:marLeft w:val="0"/>
          <w:marRight w:val="0"/>
          <w:marTop w:val="0"/>
          <w:marBottom w:val="0"/>
          <w:divBdr>
            <w:top w:val="none" w:sz="0" w:space="0" w:color="auto"/>
            <w:left w:val="none" w:sz="0" w:space="0" w:color="auto"/>
            <w:bottom w:val="none" w:sz="0" w:space="0" w:color="auto"/>
            <w:right w:val="none" w:sz="0" w:space="0" w:color="auto"/>
          </w:divBdr>
        </w:div>
        <w:div w:id="1297880925">
          <w:marLeft w:val="0"/>
          <w:marRight w:val="0"/>
          <w:marTop w:val="0"/>
          <w:marBottom w:val="0"/>
          <w:divBdr>
            <w:top w:val="none" w:sz="0" w:space="0" w:color="auto"/>
            <w:left w:val="none" w:sz="0" w:space="0" w:color="auto"/>
            <w:bottom w:val="none" w:sz="0" w:space="0" w:color="auto"/>
            <w:right w:val="none" w:sz="0" w:space="0" w:color="auto"/>
          </w:divBdr>
        </w:div>
        <w:div w:id="1216508007">
          <w:marLeft w:val="0"/>
          <w:marRight w:val="0"/>
          <w:marTop w:val="0"/>
          <w:marBottom w:val="0"/>
          <w:divBdr>
            <w:top w:val="none" w:sz="0" w:space="0" w:color="auto"/>
            <w:left w:val="none" w:sz="0" w:space="0" w:color="auto"/>
            <w:bottom w:val="none" w:sz="0" w:space="0" w:color="auto"/>
            <w:right w:val="none" w:sz="0" w:space="0" w:color="auto"/>
          </w:divBdr>
        </w:div>
        <w:div w:id="904030473">
          <w:marLeft w:val="0"/>
          <w:marRight w:val="0"/>
          <w:marTop w:val="0"/>
          <w:marBottom w:val="0"/>
          <w:divBdr>
            <w:top w:val="none" w:sz="0" w:space="0" w:color="auto"/>
            <w:left w:val="none" w:sz="0" w:space="0" w:color="auto"/>
            <w:bottom w:val="none" w:sz="0" w:space="0" w:color="auto"/>
            <w:right w:val="none" w:sz="0" w:space="0" w:color="auto"/>
          </w:divBdr>
        </w:div>
        <w:div w:id="632250105">
          <w:marLeft w:val="0"/>
          <w:marRight w:val="0"/>
          <w:marTop w:val="0"/>
          <w:marBottom w:val="0"/>
          <w:divBdr>
            <w:top w:val="none" w:sz="0" w:space="0" w:color="auto"/>
            <w:left w:val="none" w:sz="0" w:space="0" w:color="auto"/>
            <w:bottom w:val="none" w:sz="0" w:space="0" w:color="auto"/>
            <w:right w:val="none" w:sz="0" w:space="0" w:color="auto"/>
          </w:divBdr>
        </w:div>
        <w:div w:id="501090375">
          <w:marLeft w:val="0"/>
          <w:marRight w:val="0"/>
          <w:marTop w:val="0"/>
          <w:marBottom w:val="0"/>
          <w:divBdr>
            <w:top w:val="none" w:sz="0" w:space="0" w:color="auto"/>
            <w:left w:val="none" w:sz="0" w:space="0" w:color="auto"/>
            <w:bottom w:val="none" w:sz="0" w:space="0" w:color="auto"/>
            <w:right w:val="none" w:sz="0" w:space="0" w:color="auto"/>
          </w:divBdr>
        </w:div>
        <w:div w:id="341443086">
          <w:marLeft w:val="0"/>
          <w:marRight w:val="0"/>
          <w:marTop w:val="0"/>
          <w:marBottom w:val="0"/>
          <w:divBdr>
            <w:top w:val="none" w:sz="0" w:space="0" w:color="auto"/>
            <w:left w:val="none" w:sz="0" w:space="0" w:color="auto"/>
            <w:bottom w:val="none" w:sz="0" w:space="0" w:color="auto"/>
            <w:right w:val="none" w:sz="0" w:space="0" w:color="auto"/>
          </w:divBdr>
        </w:div>
        <w:div w:id="1768038206">
          <w:marLeft w:val="0"/>
          <w:marRight w:val="0"/>
          <w:marTop w:val="0"/>
          <w:marBottom w:val="0"/>
          <w:divBdr>
            <w:top w:val="none" w:sz="0" w:space="0" w:color="auto"/>
            <w:left w:val="none" w:sz="0" w:space="0" w:color="auto"/>
            <w:bottom w:val="none" w:sz="0" w:space="0" w:color="auto"/>
            <w:right w:val="none" w:sz="0" w:space="0" w:color="auto"/>
          </w:divBdr>
        </w:div>
        <w:div w:id="605431137">
          <w:marLeft w:val="0"/>
          <w:marRight w:val="0"/>
          <w:marTop w:val="0"/>
          <w:marBottom w:val="0"/>
          <w:divBdr>
            <w:top w:val="none" w:sz="0" w:space="0" w:color="auto"/>
            <w:left w:val="none" w:sz="0" w:space="0" w:color="auto"/>
            <w:bottom w:val="none" w:sz="0" w:space="0" w:color="auto"/>
            <w:right w:val="none" w:sz="0" w:space="0" w:color="auto"/>
          </w:divBdr>
        </w:div>
        <w:div w:id="438723227">
          <w:marLeft w:val="0"/>
          <w:marRight w:val="0"/>
          <w:marTop w:val="0"/>
          <w:marBottom w:val="0"/>
          <w:divBdr>
            <w:top w:val="none" w:sz="0" w:space="0" w:color="auto"/>
            <w:left w:val="none" w:sz="0" w:space="0" w:color="auto"/>
            <w:bottom w:val="none" w:sz="0" w:space="0" w:color="auto"/>
            <w:right w:val="none" w:sz="0" w:space="0" w:color="auto"/>
          </w:divBdr>
        </w:div>
        <w:div w:id="1782217370">
          <w:marLeft w:val="0"/>
          <w:marRight w:val="0"/>
          <w:marTop w:val="0"/>
          <w:marBottom w:val="0"/>
          <w:divBdr>
            <w:top w:val="none" w:sz="0" w:space="0" w:color="auto"/>
            <w:left w:val="none" w:sz="0" w:space="0" w:color="auto"/>
            <w:bottom w:val="none" w:sz="0" w:space="0" w:color="auto"/>
            <w:right w:val="none" w:sz="0" w:space="0" w:color="auto"/>
          </w:divBdr>
        </w:div>
        <w:div w:id="222330764">
          <w:marLeft w:val="0"/>
          <w:marRight w:val="0"/>
          <w:marTop w:val="0"/>
          <w:marBottom w:val="0"/>
          <w:divBdr>
            <w:top w:val="none" w:sz="0" w:space="0" w:color="auto"/>
            <w:left w:val="none" w:sz="0" w:space="0" w:color="auto"/>
            <w:bottom w:val="none" w:sz="0" w:space="0" w:color="auto"/>
            <w:right w:val="none" w:sz="0" w:space="0" w:color="auto"/>
          </w:divBdr>
        </w:div>
        <w:div w:id="1440568056">
          <w:marLeft w:val="0"/>
          <w:marRight w:val="0"/>
          <w:marTop w:val="0"/>
          <w:marBottom w:val="0"/>
          <w:divBdr>
            <w:top w:val="none" w:sz="0" w:space="0" w:color="auto"/>
            <w:left w:val="none" w:sz="0" w:space="0" w:color="auto"/>
            <w:bottom w:val="none" w:sz="0" w:space="0" w:color="auto"/>
            <w:right w:val="none" w:sz="0" w:space="0" w:color="auto"/>
          </w:divBdr>
        </w:div>
        <w:div w:id="648706265">
          <w:marLeft w:val="0"/>
          <w:marRight w:val="0"/>
          <w:marTop w:val="0"/>
          <w:marBottom w:val="0"/>
          <w:divBdr>
            <w:top w:val="none" w:sz="0" w:space="0" w:color="auto"/>
            <w:left w:val="none" w:sz="0" w:space="0" w:color="auto"/>
            <w:bottom w:val="none" w:sz="0" w:space="0" w:color="auto"/>
            <w:right w:val="none" w:sz="0" w:space="0" w:color="auto"/>
          </w:divBdr>
        </w:div>
        <w:div w:id="1277636910">
          <w:marLeft w:val="0"/>
          <w:marRight w:val="0"/>
          <w:marTop w:val="0"/>
          <w:marBottom w:val="0"/>
          <w:divBdr>
            <w:top w:val="none" w:sz="0" w:space="0" w:color="auto"/>
            <w:left w:val="none" w:sz="0" w:space="0" w:color="auto"/>
            <w:bottom w:val="none" w:sz="0" w:space="0" w:color="auto"/>
            <w:right w:val="none" w:sz="0" w:space="0" w:color="auto"/>
          </w:divBdr>
        </w:div>
        <w:div w:id="1139958843">
          <w:marLeft w:val="0"/>
          <w:marRight w:val="0"/>
          <w:marTop w:val="0"/>
          <w:marBottom w:val="0"/>
          <w:divBdr>
            <w:top w:val="none" w:sz="0" w:space="0" w:color="auto"/>
            <w:left w:val="none" w:sz="0" w:space="0" w:color="auto"/>
            <w:bottom w:val="none" w:sz="0" w:space="0" w:color="auto"/>
            <w:right w:val="none" w:sz="0" w:space="0" w:color="auto"/>
          </w:divBdr>
        </w:div>
        <w:div w:id="1650789929">
          <w:marLeft w:val="0"/>
          <w:marRight w:val="0"/>
          <w:marTop w:val="0"/>
          <w:marBottom w:val="0"/>
          <w:divBdr>
            <w:top w:val="none" w:sz="0" w:space="0" w:color="auto"/>
            <w:left w:val="none" w:sz="0" w:space="0" w:color="auto"/>
            <w:bottom w:val="none" w:sz="0" w:space="0" w:color="auto"/>
            <w:right w:val="none" w:sz="0" w:space="0" w:color="auto"/>
          </w:divBdr>
        </w:div>
        <w:div w:id="993407971">
          <w:marLeft w:val="0"/>
          <w:marRight w:val="0"/>
          <w:marTop w:val="0"/>
          <w:marBottom w:val="0"/>
          <w:divBdr>
            <w:top w:val="none" w:sz="0" w:space="0" w:color="auto"/>
            <w:left w:val="none" w:sz="0" w:space="0" w:color="auto"/>
            <w:bottom w:val="none" w:sz="0" w:space="0" w:color="auto"/>
            <w:right w:val="none" w:sz="0" w:space="0" w:color="auto"/>
          </w:divBdr>
        </w:div>
        <w:div w:id="408189740">
          <w:marLeft w:val="0"/>
          <w:marRight w:val="0"/>
          <w:marTop w:val="0"/>
          <w:marBottom w:val="0"/>
          <w:divBdr>
            <w:top w:val="none" w:sz="0" w:space="0" w:color="auto"/>
            <w:left w:val="none" w:sz="0" w:space="0" w:color="auto"/>
            <w:bottom w:val="none" w:sz="0" w:space="0" w:color="auto"/>
            <w:right w:val="none" w:sz="0" w:space="0" w:color="auto"/>
          </w:divBdr>
        </w:div>
        <w:div w:id="1973366758">
          <w:marLeft w:val="0"/>
          <w:marRight w:val="0"/>
          <w:marTop w:val="0"/>
          <w:marBottom w:val="0"/>
          <w:divBdr>
            <w:top w:val="none" w:sz="0" w:space="0" w:color="auto"/>
            <w:left w:val="none" w:sz="0" w:space="0" w:color="auto"/>
            <w:bottom w:val="none" w:sz="0" w:space="0" w:color="auto"/>
            <w:right w:val="none" w:sz="0" w:space="0" w:color="auto"/>
          </w:divBdr>
        </w:div>
        <w:div w:id="769011352">
          <w:marLeft w:val="0"/>
          <w:marRight w:val="0"/>
          <w:marTop w:val="0"/>
          <w:marBottom w:val="0"/>
          <w:divBdr>
            <w:top w:val="none" w:sz="0" w:space="0" w:color="auto"/>
            <w:left w:val="none" w:sz="0" w:space="0" w:color="auto"/>
            <w:bottom w:val="none" w:sz="0" w:space="0" w:color="auto"/>
            <w:right w:val="none" w:sz="0" w:space="0" w:color="auto"/>
          </w:divBdr>
        </w:div>
        <w:div w:id="474763874">
          <w:marLeft w:val="0"/>
          <w:marRight w:val="0"/>
          <w:marTop w:val="0"/>
          <w:marBottom w:val="0"/>
          <w:divBdr>
            <w:top w:val="none" w:sz="0" w:space="0" w:color="auto"/>
            <w:left w:val="none" w:sz="0" w:space="0" w:color="auto"/>
            <w:bottom w:val="none" w:sz="0" w:space="0" w:color="auto"/>
            <w:right w:val="none" w:sz="0" w:space="0" w:color="auto"/>
          </w:divBdr>
        </w:div>
        <w:div w:id="394469327">
          <w:marLeft w:val="0"/>
          <w:marRight w:val="0"/>
          <w:marTop w:val="0"/>
          <w:marBottom w:val="0"/>
          <w:divBdr>
            <w:top w:val="none" w:sz="0" w:space="0" w:color="auto"/>
            <w:left w:val="none" w:sz="0" w:space="0" w:color="auto"/>
            <w:bottom w:val="none" w:sz="0" w:space="0" w:color="auto"/>
            <w:right w:val="none" w:sz="0" w:space="0" w:color="auto"/>
          </w:divBdr>
        </w:div>
        <w:div w:id="1225484048">
          <w:marLeft w:val="0"/>
          <w:marRight w:val="0"/>
          <w:marTop w:val="0"/>
          <w:marBottom w:val="0"/>
          <w:divBdr>
            <w:top w:val="none" w:sz="0" w:space="0" w:color="auto"/>
            <w:left w:val="none" w:sz="0" w:space="0" w:color="auto"/>
            <w:bottom w:val="none" w:sz="0" w:space="0" w:color="auto"/>
            <w:right w:val="none" w:sz="0" w:space="0" w:color="auto"/>
          </w:divBdr>
        </w:div>
      </w:divsChild>
    </w:div>
    <w:div w:id="2095011248">
      <w:bodyDiv w:val="1"/>
      <w:marLeft w:val="0"/>
      <w:marRight w:val="0"/>
      <w:marTop w:val="0"/>
      <w:marBottom w:val="0"/>
      <w:divBdr>
        <w:top w:val="none" w:sz="0" w:space="0" w:color="auto"/>
        <w:left w:val="none" w:sz="0" w:space="0" w:color="auto"/>
        <w:bottom w:val="none" w:sz="0" w:space="0" w:color="auto"/>
        <w:right w:val="none" w:sz="0" w:space="0" w:color="auto"/>
      </w:divBdr>
    </w:div>
    <w:div w:id="2124422354">
      <w:bodyDiv w:val="1"/>
      <w:marLeft w:val="0"/>
      <w:marRight w:val="0"/>
      <w:marTop w:val="0"/>
      <w:marBottom w:val="0"/>
      <w:divBdr>
        <w:top w:val="none" w:sz="0" w:space="0" w:color="auto"/>
        <w:left w:val="none" w:sz="0" w:space="0" w:color="auto"/>
        <w:bottom w:val="none" w:sz="0" w:space="0" w:color="auto"/>
        <w:right w:val="none" w:sz="0" w:space="0" w:color="auto"/>
      </w:divBdr>
      <w:divsChild>
        <w:div w:id="1697462149">
          <w:marLeft w:val="0"/>
          <w:marRight w:val="0"/>
          <w:marTop w:val="86"/>
          <w:marBottom w:val="0"/>
          <w:divBdr>
            <w:top w:val="none" w:sz="0" w:space="0" w:color="auto"/>
            <w:left w:val="none" w:sz="0" w:space="0" w:color="auto"/>
            <w:bottom w:val="none" w:sz="0" w:space="0" w:color="auto"/>
            <w:right w:val="none" w:sz="0" w:space="0" w:color="auto"/>
          </w:divBdr>
        </w:div>
        <w:div w:id="2036073743">
          <w:marLeft w:val="0"/>
          <w:marRight w:val="0"/>
          <w:marTop w:val="86"/>
          <w:marBottom w:val="0"/>
          <w:divBdr>
            <w:top w:val="none" w:sz="0" w:space="0" w:color="auto"/>
            <w:left w:val="none" w:sz="0" w:space="0" w:color="auto"/>
            <w:bottom w:val="none" w:sz="0" w:space="0" w:color="auto"/>
            <w:right w:val="none" w:sz="0" w:space="0" w:color="auto"/>
          </w:divBdr>
        </w:div>
        <w:div w:id="171066140">
          <w:marLeft w:val="0"/>
          <w:marRight w:val="0"/>
          <w:marTop w:val="86"/>
          <w:marBottom w:val="0"/>
          <w:divBdr>
            <w:top w:val="none" w:sz="0" w:space="0" w:color="auto"/>
            <w:left w:val="none" w:sz="0" w:space="0" w:color="auto"/>
            <w:bottom w:val="none" w:sz="0" w:space="0" w:color="auto"/>
            <w:right w:val="none" w:sz="0" w:space="0" w:color="auto"/>
          </w:divBdr>
        </w:div>
        <w:div w:id="828905237">
          <w:marLeft w:val="0"/>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stitut-fuer-menschenrechte.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CA99DB-D881-4544-AFFA-877006983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1900</Words>
  <Characters>11974</Characters>
  <Application>Microsoft Office Word</Application>
  <DocSecurity>0</DocSecurity>
  <Lines>99</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Franziska Witzmann</dc:creator>
  <cp:lastModifiedBy>Franziska Witzmann</cp:lastModifiedBy>
  <cp:revision>10</cp:revision>
  <dcterms:created xsi:type="dcterms:W3CDTF">2018-02-19T13:43:00Z</dcterms:created>
  <dcterms:modified xsi:type="dcterms:W3CDTF">2018-03-01T10:56:00Z</dcterms:modified>
</cp:coreProperties>
</file>