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B7" w:rsidRDefault="00B84BB7" w:rsidP="00B84BB7">
      <w:pPr>
        <w:spacing w:line="360" w:lineRule="auto"/>
      </w:pPr>
      <w:bookmarkStart w:id="0" w:name="_GoBack"/>
      <w:bookmarkEnd w:id="0"/>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B84BB7" w:rsidRDefault="00B84BB7" w:rsidP="00B84BB7">
      <w:pPr>
        <w:spacing w:line="360" w:lineRule="auto"/>
        <w:jc w:val="center"/>
        <w:rPr>
          <w:b/>
          <w:szCs w:val="24"/>
        </w:rPr>
      </w:pPr>
    </w:p>
    <w:p w:rsidR="00EB3173" w:rsidRDefault="00B84BB7" w:rsidP="00B84BB7">
      <w:pPr>
        <w:spacing w:line="360" w:lineRule="auto"/>
        <w:jc w:val="center"/>
        <w:rPr>
          <w:b/>
          <w:sz w:val="32"/>
          <w:szCs w:val="32"/>
        </w:rPr>
      </w:pPr>
      <w:r w:rsidRPr="00EB3173">
        <w:rPr>
          <w:b/>
          <w:sz w:val="32"/>
          <w:szCs w:val="32"/>
        </w:rPr>
        <w:t xml:space="preserve">Erstes allgemeines Gesetz zur Stärkung der </w:t>
      </w:r>
    </w:p>
    <w:p w:rsidR="00EC6781" w:rsidRPr="00EB3173" w:rsidRDefault="00B84BB7" w:rsidP="00B84BB7">
      <w:pPr>
        <w:spacing w:line="360" w:lineRule="auto"/>
        <w:jc w:val="center"/>
        <w:rPr>
          <w:b/>
          <w:sz w:val="32"/>
          <w:szCs w:val="32"/>
        </w:rPr>
      </w:pPr>
      <w:r w:rsidRPr="00EB3173">
        <w:rPr>
          <w:b/>
          <w:sz w:val="32"/>
          <w:szCs w:val="32"/>
        </w:rPr>
        <w:t>Sozialen Inklusion in Nordrhein-Westfalen</w:t>
      </w:r>
    </w:p>
    <w:p w:rsidR="00EB3173" w:rsidRPr="00EB3173" w:rsidRDefault="00EB3173" w:rsidP="00B84BB7">
      <w:pPr>
        <w:spacing w:line="360" w:lineRule="auto"/>
        <w:jc w:val="center"/>
        <w:rPr>
          <w:b/>
          <w:sz w:val="32"/>
          <w:szCs w:val="32"/>
        </w:rPr>
      </w:pPr>
    </w:p>
    <w:p w:rsidR="00603406" w:rsidRDefault="00B84BB7" w:rsidP="00603406">
      <w:pPr>
        <w:spacing w:line="360" w:lineRule="auto"/>
        <w:jc w:val="center"/>
        <w:rPr>
          <w:b/>
          <w:sz w:val="32"/>
          <w:szCs w:val="32"/>
        </w:rPr>
      </w:pPr>
      <w:r w:rsidRPr="00EB3173">
        <w:rPr>
          <w:b/>
          <w:sz w:val="32"/>
          <w:szCs w:val="32"/>
        </w:rPr>
        <w:t xml:space="preserve">Stellungnahme des </w:t>
      </w:r>
    </w:p>
    <w:p w:rsidR="00603406" w:rsidRDefault="00603406" w:rsidP="00603406">
      <w:pPr>
        <w:spacing w:line="360" w:lineRule="auto"/>
        <w:jc w:val="center"/>
        <w:rPr>
          <w:b/>
          <w:sz w:val="32"/>
          <w:szCs w:val="32"/>
        </w:rPr>
      </w:pPr>
    </w:p>
    <w:p w:rsidR="00603406" w:rsidRDefault="00B84BB7" w:rsidP="00603406">
      <w:pPr>
        <w:spacing w:line="360" w:lineRule="auto"/>
        <w:jc w:val="center"/>
        <w:rPr>
          <w:b/>
          <w:sz w:val="32"/>
          <w:szCs w:val="32"/>
        </w:rPr>
      </w:pPr>
      <w:r w:rsidRPr="00EB3173">
        <w:rPr>
          <w:b/>
          <w:sz w:val="32"/>
          <w:szCs w:val="32"/>
        </w:rPr>
        <w:t>Kompetenzzentrums Selbstbestimmt Leben (KSL) Rheinland</w:t>
      </w:r>
      <w:r w:rsidR="00EB3173" w:rsidRPr="00EB3173">
        <w:rPr>
          <w:b/>
          <w:sz w:val="32"/>
          <w:szCs w:val="32"/>
        </w:rPr>
        <w:t xml:space="preserve"> </w:t>
      </w:r>
    </w:p>
    <w:p w:rsidR="00603406" w:rsidRDefault="00603406" w:rsidP="00603406">
      <w:pPr>
        <w:spacing w:line="360" w:lineRule="auto"/>
        <w:jc w:val="center"/>
        <w:rPr>
          <w:b/>
          <w:sz w:val="32"/>
          <w:szCs w:val="32"/>
        </w:rPr>
      </w:pPr>
      <w:r>
        <w:rPr>
          <w:b/>
          <w:sz w:val="32"/>
          <w:szCs w:val="32"/>
        </w:rPr>
        <w:t xml:space="preserve">und Frau </w:t>
      </w:r>
      <w:r w:rsidRPr="00603406">
        <w:rPr>
          <w:b/>
          <w:sz w:val="32"/>
          <w:szCs w:val="32"/>
        </w:rPr>
        <w:t xml:space="preserve">Prof. Dr. Theresia Degener, </w:t>
      </w:r>
      <w:r w:rsidR="004E678A">
        <w:rPr>
          <w:b/>
          <w:sz w:val="32"/>
          <w:szCs w:val="32"/>
        </w:rPr>
        <w:t xml:space="preserve">Bochumer Zentrum für </w:t>
      </w:r>
      <w:r w:rsidR="00260AD8">
        <w:rPr>
          <w:b/>
          <w:sz w:val="32"/>
          <w:szCs w:val="32"/>
        </w:rPr>
        <w:br/>
      </w:r>
      <w:r w:rsidR="004E678A">
        <w:rPr>
          <w:b/>
          <w:sz w:val="32"/>
          <w:szCs w:val="32"/>
        </w:rPr>
        <w:t xml:space="preserve">Disability Studies (BODYS), Evang. FH RWL und </w:t>
      </w:r>
      <w:r w:rsidR="00260AD8">
        <w:rPr>
          <w:b/>
          <w:sz w:val="32"/>
          <w:szCs w:val="32"/>
        </w:rPr>
        <w:br/>
      </w:r>
      <w:r>
        <w:rPr>
          <w:b/>
          <w:sz w:val="32"/>
          <w:szCs w:val="32"/>
        </w:rPr>
        <w:t xml:space="preserve">Stellv. Vorsitzende des </w:t>
      </w:r>
      <w:r w:rsidR="004E678A">
        <w:rPr>
          <w:b/>
          <w:sz w:val="32"/>
          <w:szCs w:val="32"/>
        </w:rPr>
        <w:t>UN-</w:t>
      </w:r>
      <w:r>
        <w:rPr>
          <w:b/>
          <w:sz w:val="32"/>
          <w:szCs w:val="32"/>
        </w:rPr>
        <w:t>BRK-Ausschusses</w:t>
      </w:r>
    </w:p>
    <w:p w:rsidR="00603406" w:rsidRDefault="00603406" w:rsidP="00603406">
      <w:pPr>
        <w:spacing w:line="360" w:lineRule="auto"/>
        <w:jc w:val="center"/>
        <w:rPr>
          <w:b/>
          <w:sz w:val="32"/>
          <w:szCs w:val="32"/>
        </w:rPr>
      </w:pPr>
    </w:p>
    <w:p w:rsidR="00471032" w:rsidRDefault="00EB3173" w:rsidP="00603406">
      <w:pPr>
        <w:spacing w:line="360" w:lineRule="auto"/>
        <w:jc w:val="center"/>
        <w:rPr>
          <w:b/>
          <w:sz w:val="32"/>
          <w:szCs w:val="32"/>
        </w:rPr>
      </w:pPr>
      <w:r w:rsidRPr="00EB3173">
        <w:rPr>
          <w:b/>
          <w:sz w:val="32"/>
          <w:szCs w:val="32"/>
        </w:rPr>
        <w:t>zum Gesetzentwurf der Landesregierung Nordrhein-Westfalen</w:t>
      </w:r>
      <w:r w:rsidR="00836418">
        <w:rPr>
          <w:b/>
          <w:sz w:val="32"/>
          <w:szCs w:val="32"/>
        </w:rPr>
        <w:t xml:space="preserve"> (Stand des Gesetzentwurfs: 16. September 2015</w:t>
      </w:r>
    </w:p>
    <w:p w:rsidR="00B84BB7" w:rsidRPr="00EB3173" w:rsidRDefault="00471032" w:rsidP="00603406">
      <w:pPr>
        <w:spacing w:line="360" w:lineRule="auto"/>
        <w:jc w:val="center"/>
        <w:rPr>
          <w:b/>
          <w:sz w:val="32"/>
          <w:szCs w:val="32"/>
        </w:rPr>
      </w:pPr>
      <w:r w:rsidRPr="00471032">
        <w:rPr>
          <w:b/>
          <w:sz w:val="32"/>
          <w:szCs w:val="32"/>
        </w:rPr>
        <w:t>Drucksache des Landtags 16/9761</w:t>
      </w:r>
      <w:r w:rsidR="00836418">
        <w:rPr>
          <w:b/>
          <w:sz w:val="32"/>
          <w:szCs w:val="32"/>
        </w:rPr>
        <w:t>)</w:t>
      </w:r>
    </w:p>
    <w:p w:rsidR="00B84BB7" w:rsidRDefault="00B84BB7" w:rsidP="00B84BB7">
      <w:pPr>
        <w:spacing w:after="240" w:line="360" w:lineRule="auto"/>
      </w:pPr>
    </w:p>
    <w:sdt>
      <w:sdtPr>
        <w:rPr>
          <w:rFonts w:ascii="Calibri" w:eastAsiaTheme="minorHAnsi" w:hAnsi="Calibri" w:cstheme="minorBidi"/>
          <w:b w:val="0"/>
          <w:bCs w:val="0"/>
          <w:color w:val="auto"/>
          <w:sz w:val="24"/>
          <w:szCs w:val="22"/>
          <w:lang w:eastAsia="en-US"/>
        </w:rPr>
        <w:id w:val="-522399128"/>
        <w:docPartObj>
          <w:docPartGallery w:val="Table of Contents"/>
          <w:docPartUnique/>
        </w:docPartObj>
      </w:sdtPr>
      <w:sdtEndPr/>
      <w:sdtContent>
        <w:p w:rsidR="00EB3173" w:rsidRDefault="00EB3173">
          <w:pPr>
            <w:pStyle w:val="Inhaltsverzeichnisberschrift"/>
            <w:rPr>
              <w:rFonts w:ascii="Calibri" w:hAnsi="Calibri"/>
              <w:color w:val="auto"/>
            </w:rPr>
          </w:pPr>
          <w:r w:rsidRPr="00EB3173">
            <w:rPr>
              <w:rFonts w:ascii="Calibri" w:hAnsi="Calibri"/>
              <w:color w:val="auto"/>
            </w:rPr>
            <w:t>Inhalt</w:t>
          </w:r>
        </w:p>
        <w:p w:rsidR="00EB3173" w:rsidRPr="00EB3173" w:rsidRDefault="00EB3173" w:rsidP="00EB3173">
          <w:pPr>
            <w:rPr>
              <w:lang w:eastAsia="de-DE"/>
            </w:rPr>
          </w:pPr>
        </w:p>
        <w:p w:rsidR="002668B2" w:rsidRDefault="00EB3173">
          <w:pPr>
            <w:pStyle w:val="Verzeichnis1"/>
            <w:rPr>
              <w:rFonts w:asciiTheme="minorHAnsi" w:eastAsiaTheme="minorEastAsia" w:hAnsiTheme="minorHAnsi"/>
              <w:b w:val="0"/>
              <w:sz w:val="22"/>
              <w:lang w:eastAsia="de-DE"/>
            </w:rPr>
          </w:pPr>
          <w:r>
            <w:fldChar w:fldCharType="begin"/>
          </w:r>
          <w:r>
            <w:instrText xml:space="preserve"> TOC \o "1-3" \h \z \u </w:instrText>
          </w:r>
          <w:r>
            <w:fldChar w:fldCharType="separate"/>
          </w:r>
          <w:hyperlink w:anchor="_Toc435013413" w:history="1">
            <w:r w:rsidR="002668B2" w:rsidRPr="00AC03AE">
              <w:rPr>
                <w:rStyle w:val="Hyperlink"/>
              </w:rPr>
              <w:t>Einführung</w:t>
            </w:r>
            <w:r w:rsidR="002668B2">
              <w:rPr>
                <w:webHidden/>
              </w:rPr>
              <w:tab/>
            </w:r>
            <w:r w:rsidR="002668B2">
              <w:rPr>
                <w:webHidden/>
              </w:rPr>
              <w:fldChar w:fldCharType="begin"/>
            </w:r>
            <w:r w:rsidR="002668B2">
              <w:rPr>
                <w:webHidden/>
              </w:rPr>
              <w:instrText xml:space="preserve"> PAGEREF _Toc435013413 \h </w:instrText>
            </w:r>
            <w:r w:rsidR="002668B2">
              <w:rPr>
                <w:webHidden/>
              </w:rPr>
            </w:r>
            <w:r w:rsidR="002668B2">
              <w:rPr>
                <w:webHidden/>
              </w:rPr>
              <w:fldChar w:fldCharType="separate"/>
            </w:r>
            <w:r w:rsidR="002668B2">
              <w:rPr>
                <w:webHidden/>
              </w:rPr>
              <w:t>5</w:t>
            </w:r>
            <w:r w:rsidR="002668B2">
              <w:rPr>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14" w:history="1">
            <w:r w:rsidR="002668B2" w:rsidRPr="00AC03AE">
              <w:rPr>
                <w:rStyle w:val="Hyperlink"/>
              </w:rPr>
              <w:t>Grundlage der Stellungnahme</w:t>
            </w:r>
            <w:r w:rsidR="002668B2">
              <w:rPr>
                <w:webHidden/>
              </w:rPr>
              <w:tab/>
            </w:r>
            <w:r w:rsidR="002668B2">
              <w:rPr>
                <w:webHidden/>
              </w:rPr>
              <w:fldChar w:fldCharType="begin"/>
            </w:r>
            <w:r w:rsidR="002668B2">
              <w:rPr>
                <w:webHidden/>
              </w:rPr>
              <w:instrText xml:space="preserve"> PAGEREF _Toc435013414 \h </w:instrText>
            </w:r>
            <w:r w:rsidR="002668B2">
              <w:rPr>
                <w:webHidden/>
              </w:rPr>
            </w:r>
            <w:r w:rsidR="002668B2">
              <w:rPr>
                <w:webHidden/>
              </w:rPr>
              <w:fldChar w:fldCharType="separate"/>
            </w:r>
            <w:r w:rsidR="002668B2">
              <w:rPr>
                <w:webHidden/>
              </w:rPr>
              <w:t>5</w:t>
            </w:r>
            <w:r w:rsidR="002668B2">
              <w:rPr>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15" w:history="1">
            <w:r w:rsidR="002668B2" w:rsidRPr="00AC03AE">
              <w:rPr>
                <w:rStyle w:val="Hyperlink"/>
              </w:rPr>
              <w:t>Allgemeine Anmerkungen zum Gesetzentwurf</w:t>
            </w:r>
            <w:r w:rsidR="002668B2">
              <w:rPr>
                <w:webHidden/>
              </w:rPr>
              <w:tab/>
            </w:r>
            <w:r w:rsidR="002668B2">
              <w:rPr>
                <w:webHidden/>
              </w:rPr>
              <w:fldChar w:fldCharType="begin"/>
            </w:r>
            <w:r w:rsidR="002668B2">
              <w:rPr>
                <w:webHidden/>
              </w:rPr>
              <w:instrText xml:space="preserve"> PAGEREF _Toc435013415 \h </w:instrText>
            </w:r>
            <w:r w:rsidR="002668B2">
              <w:rPr>
                <w:webHidden/>
              </w:rPr>
            </w:r>
            <w:r w:rsidR="002668B2">
              <w:rPr>
                <w:webHidden/>
              </w:rPr>
              <w:fldChar w:fldCharType="separate"/>
            </w:r>
            <w:r w:rsidR="002668B2">
              <w:rPr>
                <w:webHidden/>
              </w:rPr>
              <w:t>6</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16" w:history="1">
            <w:r w:rsidR="002668B2" w:rsidRPr="00AC03AE">
              <w:rPr>
                <w:rStyle w:val="Hyperlink"/>
                <w:noProof/>
              </w:rPr>
              <w:t>Anmerkungen zur finanziellen Dimension des Gesetzentwurfs</w:t>
            </w:r>
            <w:r w:rsidR="002668B2">
              <w:rPr>
                <w:noProof/>
                <w:webHidden/>
              </w:rPr>
              <w:tab/>
            </w:r>
            <w:r w:rsidR="002668B2">
              <w:rPr>
                <w:noProof/>
                <w:webHidden/>
              </w:rPr>
              <w:fldChar w:fldCharType="begin"/>
            </w:r>
            <w:r w:rsidR="002668B2">
              <w:rPr>
                <w:noProof/>
                <w:webHidden/>
              </w:rPr>
              <w:instrText xml:space="preserve"> PAGEREF _Toc435013416 \h </w:instrText>
            </w:r>
            <w:r w:rsidR="002668B2">
              <w:rPr>
                <w:noProof/>
                <w:webHidden/>
              </w:rPr>
            </w:r>
            <w:r w:rsidR="002668B2">
              <w:rPr>
                <w:noProof/>
                <w:webHidden/>
              </w:rPr>
              <w:fldChar w:fldCharType="separate"/>
            </w:r>
            <w:r w:rsidR="002668B2">
              <w:rPr>
                <w:noProof/>
                <w:webHidden/>
              </w:rPr>
              <w:t>6</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17" w:history="1">
            <w:r w:rsidR="002668B2" w:rsidRPr="00AC03AE">
              <w:rPr>
                <w:rStyle w:val="Hyperlink"/>
                <w:noProof/>
              </w:rPr>
              <w:t>Fehlen von Verbindlichkeit, Fristsetzung, Sanktionen und Rechtsansprüchen von Menschen mit Behinderungen</w:t>
            </w:r>
            <w:r w:rsidR="002668B2">
              <w:rPr>
                <w:noProof/>
                <w:webHidden/>
              </w:rPr>
              <w:tab/>
            </w:r>
            <w:r w:rsidR="002668B2">
              <w:rPr>
                <w:noProof/>
                <w:webHidden/>
              </w:rPr>
              <w:fldChar w:fldCharType="begin"/>
            </w:r>
            <w:r w:rsidR="002668B2">
              <w:rPr>
                <w:noProof/>
                <w:webHidden/>
              </w:rPr>
              <w:instrText xml:space="preserve"> PAGEREF _Toc435013417 \h </w:instrText>
            </w:r>
            <w:r w:rsidR="002668B2">
              <w:rPr>
                <w:noProof/>
                <w:webHidden/>
              </w:rPr>
            </w:r>
            <w:r w:rsidR="002668B2">
              <w:rPr>
                <w:noProof/>
                <w:webHidden/>
              </w:rPr>
              <w:fldChar w:fldCharType="separate"/>
            </w:r>
            <w:r w:rsidR="002668B2">
              <w:rPr>
                <w:noProof/>
                <w:webHidden/>
              </w:rPr>
              <w:t>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18" w:history="1">
            <w:r w:rsidR="002668B2" w:rsidRPr="00AC03AE">
              <w:rPr>
                <w:rStyle w:val="Hyperlink"/>
                <w:noProof/>
              </w:rPr>
              <w:t>Unzureichende Förderung der Verwendung von leichter Sprache</w:t>
            </w:r>
            <w:r w:rsidR="002668B2">
              <w:rPr>
                <w:noProof/>
                <w:webHidden/>
              </w:rPr>
              <w:tab/>
            </w:r>
            <w:r w:rsidR="002668B2">
              <w:rPr>
                <w:noProof/>
                <w:webHidden/>
              </w:rPr>
              <w:fldChar w:fldCharType="begin"/>
            </w:r>
            <w:r w:rsidR="002668B2">
              <w:rPr>
                <w:noProof/>
                <w:webHidden/>
              </w:rPr>
              <w:instrText xml:space="preserve"> PAGEREF _Toc435013418 \h </w:instrText>
            </w:r>
            <w:r w:rsidR="002668B2">
              <w:rPr>
                <w:noProof/>
                <w:webHidden/>
              </w:rPr>
            </w:r>
            <w:r w:rsidR="002668B2">
              <w:rPr>
                <w:noProof/>
                <w:webHidden/>
              </w:rPr>
              <w:fldChar w:fldCharType="separate"/>
            </w:r>
            <w:r w:rsidR="002668B2">
              <w:rPr>
                <w:noProof/>
                <w:webHidden/>
              </w:rPr>
              <w:t>8</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19" w:history="1">
            <w:r w:rsidR="002668B2" w:rsidRPr="00AC03AE">
              <w:rPr>
                <w:rStyle w:val="Hyperlink"/>
              </w:rPr>
              <w:t>Anmerkungen zu Art. 1: Erstes allgemeines Gesetz zur Stärkung der Sozialen Inklusion in Nordrhein-Westfalen</w:t>
            </w:r>
            <w:r w:rsidR="002668B2">
              <w:rPr>
                <w:webHidden/>
              </w:rPr>
              <w:tab/>
            </w:r>
            <w:r w:rsidR="002668B2">
              <w:rPr>
                <w:webHidden/>
              </w:rPr>
              <w:fldChar w:fldCharType="begin"/>
            </w:r>
            <w:r w:rsidR="002668B2">
              <w:rPr>
                <w:webHidden/>
              </w:rPr>
              <w:instrText xml:space="preserve"> PAGEREF _Toc435013419 \h </w:instrText>
            </w:r>
            <w:r w:rsidR="002668B2">
              <w:rPr>
                <w:webHidden/>
              </w:rPr>
            </w:r>
            <w:r w:rsidR="002668B2">
              <w:rPr>
                <w:webHidden/>
              </w:rPr>
              <w:fldChar w:fldCharType="separate"/>
            </w:r>
            <w:r w:rsidR="002668B2">
              <w:rPr>
                <w:webHidden/>
              </w:rPr>
              <w:t>9</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0" w:history="1">
            <w:r w:rsidR="002668B2" w:rsidRPr="00AC03AE">
              <w:rPr>
                <w:rStyle w:val="Hyperlink"/>
                <w:noProof/>
              </w:rPr>
              <w:t>§ 1 (Ziele)</w:t>
            </w:r>
            <w:r w:rsidR="002668B2">
              <w:rPr>
                <w:noProof/>
                <w:webHidden/>
              </w:rPr>
              <w:tab/>
            </w:r>
            <w:r w:rsidR="002668B2">
              <w:rPr>
                <w:noProof/>
                <w:webHidden/>
              </w:rPr>
              <w:fldChar w:fldCharType="begin"/>
            </w:r>
            <w:r w:rsidR="002668B2">
              <w:rPr>
                <w:noProof/>
                <w:webHidden/>
              </w:rPr>
              <w:instrText xml:space="preserve"> PAGEREF _Toc435013420 \h </w:instrText>
            </w:r>
            <w:r w:rsidR="002668B2">
              <w:rPr>
                <w:noProof/>
                <w:webHidden/>
              </w:rPr>
            </w:r>
            <w:r w:rsidR="002668B2">
              <w:rPr>
                <w:noProof/>
                <w:webHidden/>
              </w:rPr>
              <w:fldChar w:fldCharType="separate"/>
            </w:r>
            <w:r w:rsidR="002668B2">
              <w:rPr>
                <w:noProof/>
                <w:webHidden/>
              </w:rPr>
              <w:t>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1" w:history="1">
            <w:r w:rsidR="002668B2" w:rsidRPr="00AC03AE">
              <w:rPr>
                <w:rStyle w:val="Hyperlink"/>
                <w:noProof/>
              </w:rPr>
              <w:t>§ 2 (Geltungsbereich)</w:t>
            </w:r>
            <w:r w:rsidR="002668B2">
              <w:rPr>
                <w:noProof/>
                <w:webHidden/>
              </w:rPr>
              <w:tab/>
            </w:r>
            <w:r w:rsidR="002668B2">
              <w:rPr>
                <w:noProof/>
                <w:webHidden/>
              </w:rPr>
              <w:fldChar w:fldCharType="begin"/>
            </w:r>
            <w:r w:rsidR="002668B2">
              <w:rPr>
                <w:noProof/>
                <w:webHidden/>
              </w:rPr>
              <w:instrText xml:space="preserve"> PAGEREF _Toc435013421 \h </w:instrText>
            </w:r>
            <w:r w:rsidR="002668B2">
              <w:rPr>
                <w:noProof/>
                <w:webHidden/>
              </w:rPr>
            </w:r>
            <w:r w:rsidR="002668B2">
              <w:rPr>
                <w:noProof/>
                <w:webHidden/>
              </w:rPr>
              <w:fldChar w:fldCharType="separate"/>
            </w:r>
            <w:r w:rsidR="002668B2">
              <w:rPr>
                <w:noProof/>
                <w:webHidden/>
              </w:rPr>
              <w:t>10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2" w:history="1">
            <w:r w:rsidR="002668B2" w:rsidRPr="00AC03AE">
              <w:rPr>
                <w:rStyle w:val="Hyperlink"/>
                <w:noProof/>
              </w:rPr>
              <w:t>§ 3 (Menschen mit Behinderungen)</w:t>
            </w:r>
            <w:r w:rsidR="002668B2">
              <w:rPr>
                <w:noProof/>
                <w:webHidden/>
              </w:rPr>
              <w:tab/>
            </w:r>
            <w:r w:rsidR="002668B2">
              <w:rPr>
                <w:noProof/>
                <w:webHidden/>
              </w:rPr>
              <w:fldChar w:fldCharType="begin"/>
            </w:r>
            <w:r w:rsidR="002668B2">
              <w:rPr>
                <w:noProof/>
                <w:webHidden/>
              </w:rPr>
              <w:instrText xml:space="preserve"> PAGEREF _Toc435013422 \h </w:instrText>
            </w:r>
            <w:r w:rsidR="002668B2">
              <w:rPr>
                <w:noProof/>
                <w:webHidden/>
              </w:rPr>
            </w:r>
            <w:r w:rsidR="002668B2">
              <w:rPr>
                <w:noProof/>
                <w:webHidden/>
              </w:rPr>
              <w:fldChar w:fldCharType="separate"/>
            </w:r>
            <w:r w:rsidR="002668B2">
              <w:rPr>
                <w:noProof/>
                <w:webHidden/>
              </w:rPr>
              <w:t>11</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3" w:history="1">
            <w:r w:rsidR="002668B2" w:rsidRPr="00AC03AE">
              <w:rPr>
                <w:rStyle w:val="Hyperlink"/>
                <w:noProof/>
              </w:rPr>
              <w:t>§ 4 (Frauen und Mädchen, Kinder und Jugendliche, Eltern)</w:t>
            </w:r>
            <w:r w:rsidR="002668B2">
              <w:rPr>
                <w:noProof/>
                <w:webHidden/>
              </w:rPr>
              <w:tab/>
            </w:r>
            <w:r w:rsidR="002668B2">
              <w:rPr>
                <w:noProof/>
                <w:webHidden/>
              </w:rPr>
              <w:fldChar w:fldCharType="begin"/>
            </w:r>
            <w:r w:rsidR="002668B2">
              <w:rPr>
                <w:noProof/>
                <w:webHidden/>
              </w:rPr>
              <w:instrText xml:space="preserve"> PAGEREF _Toc435013423 \h </w:instrText>
            </w:r>
            <w:r w:rsidR="002668B2">
              <w:rPr>
                <w:noProof/>
                <w:webHidden/>
              </w:rPr>
            </w:r>
            <w:r w:rsidR="002668B2">
              <w:rPr>
                <w:noProof/>
                <w:webHidden/>
              </w:rPr>
              <w:fldChar w:fldCharType="separate"/>
            </w:r>
            <w:r w:rsidR="002668B2">
              <w:rPr>
                <w:noProof/>
                <w:webHidden/>
              </w:rPr>
              <w:t>12</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4" w:history="1">
            <w:r w:rsidR="002668B2" w:rsidRPr="00AC03AE">
              <w:rPr>
                <w:rStyle w:val="Hyperlink"/>
                <w:noProof/>
              </w:rPr>
              <w:t>§ 5 (Allgemeine Grundsätze für die Träger öffentlicher Belange)</w:t>
            </w:r>
            <w:r w:rsidR="002668B2">
              <w:rPr>
                <w:noProof/>
                <w:webHidden/>
              </w:rPr>
              <w:tab/>
            </w:r>
            <w:r w:rsidR="002668B2">
              <w:rPr>
                <w:noProof/>
                <w:webHidden/>
              </w:rPr>
              <w:fldChar w:fldCharType="begin"/>
            </w:r>
            <w:r w:rsidR="002668B2">
              <w:rPr>
                <w:noProof/>
                <w:webHidden/>
              </w:rPr>
              <w:instrText xml:space="preserve"> PAGEREF _Toc435013424 \h </w:instrText>
            </w:r>
            <w:r w:rsidR="002668B2">
              <w:rPr>
                <w:noProof/>
                <w:webHidden/>
              </w:rPr>
            </w:r>
            <w:r w:rsidR="002668B2">
              <w:rPr>
                <w:noProof/>
                <w:webHidden/>
              </w:rPr>
              <w:fldChar w:fldCharType="separate"/>
            </w:r>
            <w:r w:rsidR="002668B2">
              <w:rPr>
                <w:noProof/>
                <w:webHidden/>
              </w:rPr>
              <w:t>13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5" w:history="1">
            <w:r w:rsidR="002668B2" w:rsidRPr="00AC03AE">
              <w:rPr>
                <w:rStyle w:val="Hyperlink"/>
                <w:noProof/>
              </w:rPr>
              <w:t>§ 6 (Anforderungen an die Gesetzgebung)</w:t>
            </w:r>
            <w:r w:rsidR="002668B2">
              <w:rPr>
                <w:noProof/>
                <w:webHidden/>
              </w:rPr>
              <w:tab/>
            </w:r>
            <w:r w:rsidR="002668B2">
              <w:rPr>
                <w:noProof/>
                <w:webHidden/>
              </w:rPr>
              <w:fldChar w:fldCharType="begin"/>
            </w:r>
            <w:r w:rsidR="002668B2">
              <w:rPr>
                <w:noProof/>
                <w:webHidden/>
              </w:rPr>
              <w:instrText xml:space="preserve"> PAGEREF _Toc435013425 \h </w:instrText>
            </w:r>
            <w:r w:rsidR="002668B2">
              <w:rPr>
                <w:noProof/>
                <w:webHidden/>
              </w:rPr>
            </w:r>
            <w:r w:rsidR="002668B2">
              <w:rPr>
                <w:noProof/>
                <w:webHidden/>
              </w:rPr>
              <w:fldChar w:fldCharType="separate"/>
            </w:r>
            <w:r w:rsidR="002668B2">
              <w:rPr>
                <w:noProof/>
                <w:webHidden/>
              </w:rPr>
              <w:t>14</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6" w:history="1">
            <w:r w:rsidR="002668B2" w:rsidRPr="00AC03AE">
              <w:rPr>
                <w:rStyle w:val="Hyperlink"/>
                <w:noProof/>
              </w:rPr>
              <w:t>§ 7 (Zugänglichkeit der Dienste und Einrichtungen für die Allgemeinheit)</w:t>
            </w:r>
            <w:r w:rsidR="002668B2">
              <w:rPr>
                <w:noProof/>
                <w:webHidden/>
              </w:rPr>
              <w:tab/>
            </w:r>
            <w:r w:rsidR="002668B2">
              <w:rPr>
                <w:noProof/>
                <w:webHidden/>
              </w:rPr>
              <w:fldChar w:fldCharType="begin"/>
            </w:r>
            <w:r w:rsidR="002668B2">
              <w:rPr>
                <w:noProof/>
                <w:webHidden/>
              </w:rPr>
              <w:instrText xml:space="preserve"> PAGEREF _Toc435013426 \h </w:instrText>
            </w:r>
            <w:r w:rsidR="002668B2">
              <w:rPr>
                <w:noProof/>
                <w:webHidden/>
              </w:rPr>
            </w:r>
            <w:r w:rsidR="002668B2">
              <w:rPr>
                <w:noProof/>
                <w:webHidden/>
              </w:rPr>
              <w:fldChar w:fldCharType="separate"/>
            </w:r>
            <w:r w:rsidR="002668B2">
              <w:rPr>
                <w:noProof/>
                <w:webHidden/>
              </w:rPr>
              <w:t>16</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7" w:history="1">
            <w:r w:rsidR="002668B2" w:rsidRPr="00AC03AE">
              <w:rPr>
                <w:rStyle w:val="Hyperlink"/>
                <w:noProof/>
              </w:rPr>
              <w:t>§ 8 (Kompetenz- und Koordinierungsstelle)</w:t>
            </w:r>
            <w:r w:rsidR="002668B2">
              <w:rPr>
                <w:noProof/>
                <w:webHidden/>
              </w:rPr>
              <w:tab/>
            </w:r>
            <w:r w:rsidR="002668B2">
              <w:rPr>
                <w:noProof/>
                <w:webHidden/>
              </w:rPr>
              <w:fldChar w:fldCharType="begin"/>
            </w:r>
            <w:r w:rsidR="002668B2">
              <w:rPr>
                <w:noProof/>
                <w:webHidden/>
              </w:rPr>
              <w:instrText xml:space="preserve"> PAGEREF _Toc435013427 \h </w:instrText>
            </w:r>
            <w:r w:rsidR="002668B2">
              <w:rPr>
                <w:noProof/>
                <w:webHidden/>
              </w:rPr>
            </w:r>
            <w:r w:rsidR="002668B2">
              <w:rPr>
                <w:noProof/>
                <w:webHidden/>
              </w:rPr>
              <w:fldChar w:fldCharType="separate"/>
            </w:r>
            <w:r w:rsidR="002668B2">
              <w:rPr>
                <w:noProof/>
                <w:webHidden/>
              </w:rPr>
              <w:t>17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8" w:history="1">
            <w:r w:rsidR="002668B2" w:rsidRPr="00AC03AE">
              <w:rPr>
                <w:rStyle w:val="Hyperlink"/>
                <w:noProof/>
              </w:rPr>
              <w:t>§ 9 (Beteiligung von Menschen mit Behinderungen)</w:t>
            </w:r>
            <w:r w:rsidR="002668B2">
              <w:rPr>
                <w:noProof/>
                <w:webHidden/>
              </w:rPr>
              <w:tab/>
            </w:r>
            <w:r w:rsidR="002668B2">
              <w:rPr>
                <w:noProof/>
                <w:webHidden/>
              </w:rPr>
              <w:fldChar w:fldCharType="begin"/>
            </w:r>
            <w:r w:rsidR="002668B2">
              <w:rPr>
                <w:noProof/>
                <w:webHidden/>
              </w:rPr>
              <w:instrText xml:space="preserve"> PAGEREF _Toc435013428 \h </w:instrText>
            </w:r>
            <w:r w:rsidR="002668B2">
              <w:rPr>
                <w:noProof/>
                <w:webHidden/>
              </w:rPr>
            </w:r>
            <w:r w:rsidR="002668B2">
              <w:rPr>
                <w:noProof/>
                <w:webHidden/>
              </w:rPr>
              <w:fldChar w:fldCharType="separate"/>
            </w:r>
            <w:r w:rsidR="002668B2">
              <w:rPr>
                <w:noProof/>
                <w:webHidden/>
              </w:rPr>
              <w:t>17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29" w:history="1">
            <w:r w:rsidR="002668B2" w:rsidRPr="00AC03AE">
              <w:rPr>
                <w:rStyle w:val="Hyperlink"/>
                <w:noProof/>
              </w:rPr>
              <w:t>§ 10 (Inklusionsbeirat)</w:t>
            </w:r>
            <w:r w:rsidR="002668B2">
              <w:rPr>
                <w:noProof/>
                <w:webHidden/>
              </w:rPr>
              <w:tab/>
            </w:r>
            <w:r w:rsidR="002668B2">
              <w:rPr>
                <w:noProof/>
                <w:webHidden/>
              </w:rPr>
              <w:fldChar w:fldCharType="begin"/>
            </w:r>
            <w:r w:rsidR="002668B2">
              <w:rPr>
                <w:noProof/>
                <w:webHidden/>
              </w:rPr>
              <w:instrText xml:space="preserve"> PAGEREF _Toc435013429 \h </w:instrText>
            </w:r>
            <w:r w:rsidR="002668B2">
              <w:rPr>
                <w:noProof/>
                <w:webHidden/>
              </w:rPr>
            </w:r>
            <w:r w:rsidR="002668B2">
              <w:rPr>
                <w:noProof/>
                <w:webHidden/>
              </w:rPr>
              <w:fldChar w:fldCharType="separate"/>
            </w:r>
            <w:r w:rsidR="002668B2">
              <w:rPr>
                <w:noProof/>
                <w:webHidden/>
              </w:rPr>
              <w:t>18</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0" w:history="1">
            <w:r w:rsidR="002668B2" w:rsidRPr="00AC03AE">
              <w:rPr>
                <w:rStyle w:val="Hyperlink"/>
                <w:noProof/>
              </w:rPr>
              <w:t>§ 11 (Monitoringstelle)</w:t>
            </w:r>
            <w:r w:rsidR="002668B2">
              <w:rPr>
                <w:noProof/>
                <w:webHidden/>
              </w:rPr>
              <w:tab/>
            </w:r>
            <w:r w:rsidR="002668B2">
              <w:rPr>
                <w:noProof/>
                <w:webHidden/>
              </w:rPr>
              <w:fldChar w:fldCharType="begin"/>
            </w:r>
            <w:r w:rsidR="002668B2">
              <w:rPr>
                <w:noProof/>
                <w:webHidden/>
              </w:rPr>
              <w:instrText xml:space="preserve"> PAGEREF _Toc435013430 \h </w:instrText>
            </w:r>
            <w:r w:rsidR="002668B2">
              <w:rPr>
                <w:noProof/>
                <w:webHidden/>
              </w:rPr>
            </w:r>
            <w:r w:rsidR="002668B2">
              <w:rPr>
                <w:noProof/>
                <w:webHidden/>
              </w:rPr>
              <w:fldChar w:fldCharType="separate"/>
            </w:r>
            <w:r w:rsidR="002668B2">
              <w:rPr>
                <w:noProof/>
                <w:webHidden/>
              </w:rPr>
              <w:t>19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1" w:history="1">
            <w:r w:rsidR="002668B2" w:rsidRPr="00AC03AE">
              <w:rPr>
                <w:rStyle w:val="Hyperlink"/>
                <w:noProof/>
              </w:rPr>
              <w:t>§ 12 (Berichterstattung)</w:t>
            </w:r>
            <w:r w:rsidR="002668B2">
              <w:rPr>
                <w:noProof/>
                <w:webHidden/>
              </w:rPr>
              <w:tab/>
            </w:r>
            <w:r w:rsidR="002668B2">
              <w:rPr>
                <w:noProof/>
                <w:webHidden/>
              </w:rPr>
              <w:fldChar w:fldCharType="begin"/>
            </w:r>
            <w:r w:rsidR="002668B2">
              <w:rPr>
                <w:noProof/>
                <w:webHidden/>
              </w:rPr>
              <w:instrText xml:space="preserve"> PAGEREF _Toc435013431 \h </w:instrText>
            </w:r>
            <w:r w:rsidR="002668B2">
              <w:rPr>
                <w:noProof/>
                <w:webHidden/>
              </w:rPr>
            </w:r>
            <w:r w:rsidR="002668B2">
              <w:rPr>
                <w:noProof/>
                <w:webHidden/>
              </w:rPr>
              <w:fldChar w:fldCharType="separate"/>
            </w:r>
            <w:r w:rsidR="002668B2">
              <w:rPr>
                <w:noProof/>
                <w:webHidden/>
              </w:rPr>
              <w:t>19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2" w:history="1">
            <w:r w:rsidR="002668B2" w:rsidRPr="00AC03AE">
              <w:rPr>
                <w:rStyle w:val="Hyperlink"/>
                <w:noProof/>
              </w:rPr>
              <w:t>§ 13 (Inkrafttreten, Berichtspflicht)</w:t>
            </w:r>
            <w:r w:rsidR="002668B2">
              <w:rPr>
                <w:noProof/>
                <w:webHidden/>
              </w:rPr>
              <w:tab/>
            </w:r>
            <w:r w:rsidR="002668B2">
              <w:rPr>
                <w:noProof/>
                <w:webHidden/>
              </w:rPr>
              <w:fldChar w:fldCharType="begin"/>
            </w:r>
            <w:r w:rsidR="002668B2">
              <w:rPr>
                <w:noProof/>
                <w:webHidden/>
              </w:rPr>
              <w:instrText xml:space="preserve"> PAGEREF _Toc435013432 \h </w:instrText>
            </w:r>
            <w:r w:rsidR="002668B2">
              <w:rPr>
                <w:noProof/>
                <w:webHidden/>
              </w:rPr>
            </w:r>
            <w:r w:rsidR="002668B2">
              <w:rPr>
                <w:noProof/>
                <w:webHidden/>
              </w:rPr>
              <w:fldChar w:fldCharType="separate"/>
            </w:r>
            <w:r w:rsidR="002668B2">
              <w:rPr>
                <w:noProof/>
                <w:webHidden/>
              </w:rPr>
              <w:t>20</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33" w:history="1">
            <w:r w:rsidR="002668B2" w:rsidRPr="00AC03AE">
              <w:rPr>
                <w:rStyle w:val="Hyperlink"/>
              </w:rPr>
              <w:t>Anmerkungen zu Art. 2: Änderung des Behindertengleichstellungsgesetzes Nordrhein-Westfalen</w:t>
            </w:r>
            <w:r w:rsidR="002668B2">
              <w:rPr>
                <w:webHidden/>
              </w:rPr>
              <w:tab/>
            </w:r>
            <w:r w:rsidR="002668B2">
              <w:rPr>
                <w:webHidden/>
              </w:rPr>
              <w:fldChar w:fldCharType="begin"/>
            </w:r>
            <w:r w:rsidR="002668B2">
              <w:rPr>
                <w:webHidden/>
              </w:rPr>
              <w:instrText xml:space="preserve"> PAGEREF _Toc435013433 \h </w:instrText>
            </w:r>
            <w:r w:rsidR="002668B2">
              <w:rPr>
                <w:webHidden/>
              </w:rPr>
            </w:r>
            <w:r w:rsidR="002668B2">
              <w:rPr>
                <w:webHidden/>
              </w:rPr>
              <w:fldChar w:fldCharType="separate"/>
            </w:r>
            <w:r w:rsidR="002668B2">
              <w:rPr>
                <w:webHidden/>
              </w:rPr>
              <w:t>20</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4" w:history="1">
            <w:r w:rsidR="002668B2" w:rsidRPr="00AC03AE">
              <w:rPr>
                <w:rStyle w:val="Hyperlink"/>
                <w:noProof/>
              </w:rPr>
              <w:t>§ 1 (Ziel des Gesetzes, Geltungsbereich)</w:t>
            </w:r>
            <w:r w:rsidR="002668B2">
              <w:rPr>
                <w:noProof/>
                <w:webHidden/>
              </w:rPr>
              <w:tab/>
            </w:r>
            <w:r w:rsidR="002668B2">
              <w:rPr>
                <w:noProof/>
                <w:webHidden/>
              </w:rPr>
              <w:fldChar w:fldCharType="begin"/>
            </w:r>
            <w:r w:rsidR="002668B2">
              <w:rPr>
                <w:noProof/>
                <w:webHidden/>
              </w:rPr>
              <w:instrText xml:space="preserve"> PAGEREF _Toc435013434 \h </w:instrText>
            </w:r>
            <w:r w:rsidR="002668B2">
              <w:rPr>
                <w:noProof/>
                <w:webHidden/>
              </w:rPr>
            </w:r>
            <w:r w:rsidR="002668B2">
              <w:rPr>
                <w:noProof/>
                <w:webHidden/>
              </w:rPr>
              <w:fldChar w:fldCharType="separate"/>
            </w:r>
            <w:r w:rsidR="002668B2">
              <w:rPr>
                <w:noProof/>
                <w:webHidden/>
              </w:rPr>
              <w:t>20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5" w:history="1">
            <w:r w:rsidR="002668B2" w:rsidRPr="00AC03AE">
              <w:rPr>
                <w:rStyle w:val="Hyperlink"/>
                <w:noProof/>
              </w:rPr>
              <w:t>§ 2 (Diskriminierung)</w:t>
            </w:r>
            <w:r w:rsidR="002668B2">
              <w:rPr>
                <w:noProof/>
                <w:webHidden/>
              </w:rPr>
              <w:tab/>
            </w:r>
            <w:r w:rsidR="002668B2">
              <w:rPr>
                <w:noProof/>
                <w:webHidden/>
              </w:rPr>
              <w:fldChar w:fldCharType="begin"/>
            </w:r>
            <w:r w:rsidR="002668B2">
              <w:rPr>
                <w:noProof/>
                <w:webHidden/>
              </w:rPr>
              <w:instrText xml:space="preserve"> PAGEREF _Toc435013435 \h </w:instrText>
            </w:r>
            <w:r w:rsidR="002668B2">
              <w:rPr>
                <w:noProof/>
                <w:webHidden/>
              </w:rPr>
            </w:r>
            <w:r w:rsidR="002668B2">
              <w:rPr>
                <w:noProof/>
                <w:webHidden/>
              </w:rPr>
              <w:fldChar w:fldCharType="separate"/>
            </w:r>
            <w:r w:rsidR="002668B2">
              <w:rPr>
                <w:noProof/>
                <w:webHidden/>
              </w:rPr>
              <w:t>21</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6" w:history="1">
            <w:r w:rsidR="002668B2" w:rsidRPr="00AC03AE">
              <w:rPr>
                <w:rStyle w:val="Hyperlink"/>
                <w:noProof/>
              </w:rPr>
              <w:t>§ 3 (Angemessene Vorkehrungen)</w:t>
            </w:r>
            <w:r w:rsidR="002668B2">
              <w:rPr>
                <w:noProof/>
                <w:webHidden/>
              </w:rPr>
              <w:tab/>
            </w:r>
            <w:r w:rsidR="002668B2">
              <w:rPr>
                <w:noProof/>
                <w:webHidden/>
              </w:rPr>
              <w:fldChar w:fldCharType="begin"/>
            </w:r>
            <w:r w:rsidR="002668B2">
              <w:rPr>
                <w:noProof/>
                <w:webHidden/>
              </w:rPr>
              <w:instrText xml:space="preserve"> PAGEREF _Toc435013436 \h </w:instrText>
            </w:r>
            <w:r w:rsidR="002668B2">
              <w:rPr>
                <w:noProof/>
                <w:webHidden/>
              </w:rPr>
            </w:r>
            <w:r w:rsidR="002668B2">
              <w:rPr>
                <w:noProof/>
                <w:webHidden/>
              </w:rPr>
              <w:fldChar w:fldCharType="separate"/>
            </w:r>
            <w:r w:rsidR="002668B2">
              <w:rPr>
                <w:noProof/>
                <w:webHidden/>
              </w:rPr>
              <w:t>22</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7" w:history="1">
            <w:r w:rsidR="002668B2" w:rsidRPr="00AC03AE">
              <w:rPr>
                <w:rStyle w:val="Hyperlink"/>
                <w:noProof/>
              </w:rPr>
              <w:t>§ 4 (Barrierefreiheit)</w:t>
            </w:r>
            <w:r w:rsidR="002668B2">
              <w:rPr>
                <w:noProof/>
                <w:webHidden/>
              </w:rPr>
              <w:tab/>
            </w:r>
            <w:r w:rsidR="002668B2">
              <w:rPr>
                <w:noProof/>
                <w:webHidden/>
              </w:rPr>
              <w:fldChar w:fldCharType="begin"/>
            </w:r>
            <w:r w:rsidR="002668B2">
              <w:rPr>
                <w:noProof/>
                <w:webHidden/>
              </w:rPr>
              <w:instrText xml:space="preserve"> PAGEREF _Toc435013437 \h </w:instrText>
            </w:r>
            <w:r w:rsidR="002668B2">
              <w:rPr>
                <w:noProof/>
                <w:webHidden/>
              </w:rPr>
            </w:r>
            <w:r w:rsidR="002668B2">
              <w:rPr>
                <w:noProof/>
                <w:webHidden/>
              </w:rPr>
              <w:fldChar w:fldCharType="separate"/>
            </w:r>
            <w:r w:rsidR="002668B2">
              <w:rPr>
                <w:noProof/>
                <w:webHidden/>
              </w:rPr>
              <w:t>23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8" w:history="1">
            <w:r w:rsidR="002668B2" w:rsidRPr="00AC03AE">
              <w:rPr>
                <w:rStyle w:val="Hyperlink"/>
                <w:noProof/>
              </w:rPr>
              <w:t>§ 5 (Zielvereinbarungen)</w:t>
            </w:r>
            <w:r w:rsidR="002668B2">
              <w:rPr>
                <w:noProof/>
                <w:webHidden/>
              </w:rPr>
              <w:tab/>
            </w:r>
            <w:r w:rsidR="002668B2">
              <w:rPr>
                <w:noProof/>
                <w:webHidden/>
              </w:rPr>
              <w:fldChar w:fldCharType="begin"/>
            </w:r>
            <w:r w:rsidR="002668B2">
              <w:rPr>
                <w:noProof/>
                <w:webHidden/>
              </w:rPr>
              <w:instrText xml:space="preserve"> PAGEREF _Toc435013438 \h </w:instrText>
            </w:r>
            <w:r w:rsidR="002668B2">
              <w:rPr>
                <w:noProof/>
                <w:webHidden/>
              </w:rPr>
            </w:r>
            <w:r w:rsidR="002668B2">
              <w:rPr>
                <w:noProof/>
                <w:webHidden/>
              </w:rPr>
              <w:fldChar w:fldCharType="separate"/>
            </w:r>
            <w:r w:rsidR="002668B2">
              <w:rPr>
                <w:noProof/>
                <w:webHidden/>
              </w:rPr>
              <w:t>23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39" w:history="1">
            <w:r w:rsidR="002668B2" w:rsidRPr="00AC03AE">
              <w:rPr>
                <w:rStyle w:val="Hyperlink"/>
                <w:noProof/>
              </w:rPr>
              <w:t>§ 6 Abs. 1 S. 1 BGG NRW</w:t>
            </w:r>
            <w:r w:rsidR="002668B2">
              <w:rPr>
                <w:noProof/>
                <w:webHidden/>
              </w:rPr>
              <w:tab/>
            </w:r>
            <w:r w:rsidR="002668B2">
              <w:rPr>
                <w:noProof/>
                <w:webHidden/>
              </w:rPr>
              <w:fldChar w:fldCharType="begin"/>
            </w:r>
            <w:r w:rsidR="002668B2">
              <w:rPr>
                <w:noProof/>
                <w:webHidden/>
              </w:rPr>
              <w:instrText xml:space="preserve"> PAGEREF _Toc435013439 \h </w:instrText>
            </w:r>
            <w:r w:rsidR="002668B2">
              <w:rPr>
                <w:noProof/>
                <w:webHidden/>
              </w:rPr>
            </w:r>
            <w:r w:rsidR="002668B2">
              <w:rPr>
                <w:noProof/>
                <w:webHidden/>
              </w:rPr>
              <w:fldChar w:fldCharType="separate"/>
            </w:r>
            <w:r w:rsidR="002668B2">
              <w:rPr>
                <w:noProof/>
                <w:webHidden/>
              </w:rPr>
              <w:t>25</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0" w:history="1">
            <w:r w:rsidR="002668B2" w:rsidRPr="00AC03AE">
              <w:rPr>
                <w:rStyle w:val="Hyperlink"/>
                <w:noProof/>
              </w:rPr>
              <w:t>§ 6 Abs. 2 S. 3 BGG NRW</w:t>
            </w:r>
            <w:r w:rsidR="002668B2">
              <w:rPr>
                <w:noProof/>
                <w:webHidden/>
              </w:rPr>
              <w:tab/>
            </w:r>
            <w:r w:rsidR="002668B2">
              <w:rPr>
                <w:noProof/>
                <w:webHidden/>
              </w:rPr>
              <w:fldChar w:fldCharType="begin"/>
            </w:r>
            <w:r w:rsidR="002668B2">
              <w:rPr>
                <w:noProof/>
                <w:webHidden/>
              </w:rPr>
              <w:instrText xml:space="preserve"> PAGEREF _Toc435013440 \h </w:instrText>
            </w:r>
            <w:r w:rsidR="002668B2">
              <w:rPr>
                <w:noProof/>
                <w:webHidden/>
              </w:rPr>
            </w:r>
            <w:r w:rsidR="002668B2">
              <w:rPr>
                <w:noProof/>
                <w:webHidden/>
              </w:rPr>
              <w:fldChar w:fldCharType="separate"/>
            </w:r>
            <w:r w:rsidR="002668B2">
              <w:rPr>
                <w:noProof/>
                <w:webHidden/>
              </w:rPr>
              <w:t>25</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1" w:history="1">
            <w:r w:rsidR="002668B2" w:rsidRPr="00AC03AE">
              <w:rPr>
                <w:rStyle w:val="Hyperlink"/>
                <w:noProof/>
              </w:rPr>
              <w:t>§ 7 (Barrierefreiheit in den Bereichen Anlagen und Verkehr)</w:t>
            </w:r>
            <w:r w:rsidR="002668B2">
              <w:rPr>
                <w:noProof/>
                <w:webHidden/>
              </w:rPr>
              <w:tab/>
            </w:r>
            <w:r w:rsidR="002668B2">
              <w:rPr>
                <w:noProof/>
                <w:webHidden/>
              </w:rPr>
              <w:fldChar w:fldCharType="begin"/>
            </w:r>
            <w:r w:rsidR="002668B2">
              <w:rPr>
                <w:noProof/>
                <w:webHidden/>
              </w:rPr>
              <w:instrText xml:space="preserve"> PAGEREF _Toc435013441 \h </w:instrText>
            </w:r>
            <w:r w:rsidR="002668B2">
              <w:rPr>
                <w:noProof/>
                <w:webHidden/>
              </w:rPr>
            </w:r>
            <w:r w:rsidR="002668B2">
              <w:rPr>
                <w:noProof/>
                <w:webHidden/>
              </w:rPr>
              <w:fldChar w:fldCharType="separate"/>
            </w:r>
            <w:r w:rsidR="002668B2">
              <w:rPr>
                <w:noProof/>
                <w:webHidden/>
              </w:rPr>
              <w:t>26</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2" w:history="1">
            <w:r w:rsidR="002668B2" w:rsidRPr="00AC03AE">
              <w:rPr>
                <w:rStyle w:val="Hyperlink"/>
                <w:noProof/>
              </w:rPr>
              <w:t>§ 8 (Barrierefreie Kommunikation)</w:t>
            </w:r>
            <w:r w:rsidR="002668B2">
              <w:rPr>
                <w:noProof/>
                <w:webHidden/>
              </w:rPr>
              <w:tab/>
            </w:r>
            <w:r w:rsidR="002668B2">
              <w:rPr>
                <w:noProof/>
                <w:webHidden/>
              </w:rPr>
              <w:fldChar w:fldCharType="begin"/>
            </w:r>
            <w:r w:rsidR="002668B2">
              <w:rPr>
                <w:noProof/>
                <w:webHidden/>
              </w:rPr>
              <w:instrText xml:space="preserve"> PAGEREF _Toc435013442 \h </w:instrText>
            </w:r>
            <w:r w:rsidR="002668B2">
              <w:rPr>
                <w:noProof/>
                <w:webHidden/>
              </w:rPr>
            </w:r>
            <w:r w:rsidR="002668B2">
              <w:rPr>
                <w:noProof/>
                <w:webHidden/>
              </w:rPr>
              <w:fldChar w:fldCharType="separate"/>
            </w:r>
            <w:r w:rsidR="002668B2">
              <w:rPr>
                <w:noProof/>
                <w:webHidden/>
              </w:rPr>
              <w:t>26</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3" w:history="1">
            <w:r w:rsidR="002668B2" w:rsidRPr="00AC03AE">
              <w:rPr>
                <w:rStyle w:val="Hyperlink"/>
                <w:noProof/>
              </w:rPr>
              <w:t>§ 9 (Gestaltung von Bescheiden, amtlichen Informationen und Vordrucken)</w:t>
            </w:r>
            <w:r w:rsidR="002668B2">
              <w:rPr>
                <w:noProof/>
                <w:webHidden/>
              </w:rPr>
              <w:tab/>
            </w:r>
            <w:r w:rsidR="002668B2">
              <w:rPr>
                <w:noProof/>
                <w:webHidden/>
              </w:rPr>
              <w:fldChar w:fldCharType="begin"/>
            </w:r>
            <w:r w:rsidR="002668B2">
              <w:rPr>
                <w:noProof/>
                <w:webHidden/>
              </w:rPr>
              <w:instrText xml:space="preserve"> PAGEREF _Toc435013443 \h </w:instrText>
            </w:r>
            <w:r w:rsidR="002668B2">
              <w:rPr>
                <w:noProof/>
                <w:webHidden/>
              </w:rPr>
            </w:r>
            <w:r w:rsidR="002668B2">
              <w:rPr>
                <w:noProof/>
                <w:webHidden/>
              </w:rPr>
              <w:fldChar w:fldCharType="separate"/>
            </w:r>
            <w:r w:rsidR="002668B2">
              <w:rPr>
                <w:noProof/>
                <w:webHidden/>
              </w:rPr>
              <w:t>28</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4" w:history="1">
            <w:r w:rsidR="002668B2" w:rsidRPr="00AC03AE">
              <w:rPr>
                <w:rStyle w:val="Hyperlink"/>
                <w:noProof/>
              </w:rPr>
              <w:t>§ 10 Abs. 1 BGG NRW</w:t>
            </w:r>
            <w:r w:rsidR="002668B2">
              <w:rPr>
                <w:noProof/>
                <w:webHidden/>
              </w:rPr>
              <w:tab/>
            </w:r>
            <w:r w:rsidR="002668B2">
              <w:rPr>
                <w:noProof/>
                <w:webHidden/>
              </w:rPr>
              <w:fldChar w:fldCharType="begin"/>
            </w:r>
            <w:r w:rsidR="002668B2">
              <w:rPr>
                <w:noProof/>
                <w:webHidden/>
              </w:rPr>
              <w:instrText xml:space="preserve"> PAGEREF _Toc435013444 \h </w:instrText>
            </w:r>
            <w:r w:rsidR="002668B2">
              <w:rPr>
                <w:noProof/>
                <w:webHidden/>
              </w:rPr>
            </w:r>
            <w:r w:rsidR="002668B2">
              <w:rPr>
                <w:noProof/>
                <w:webHidden/>
              </w:rPr>
              <w:fldChar w:fldCharType="separate"/>
            </w:r>
            <w:r w:rsidR="002668B2">
              <w:rPr>
                <w:noProof/>
                <w:webHidden/>
              </w:rPr>
              <w:t>29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5" w:history="1">
            <w:r w:rsidR="002668B2" w:rsidRPr="00AC03AE">
              <w:rPr>
                <w:rStyle w:val="Hyperlink"/>
                <w:noProof/>
              </w:rPr>
              <w:t>§ 10 Abs. 2 BGG NRW</w:t>
            </w:r>
            <w:r w:rsidR="002668B2">
              <w:rPr>
                <w:noProof/>
                <w:webHidden/>
              </w:rPr>
              <w:tab/>
            </w:r>
            <w:r w:rsidR="002668B2">
              <w:rPr>
                <w:noProof/>
                <w:webHidden/>
              </w:rPr>
              <w:fldChar w:fldCharType="begin"/>
            </w:r>
            <w:r w:rsidR="002668B2">
              <w:rPr>
                <w:noProof/>
                <w:webHidden/>
              </w:rPr>
              <w:instrText xml:space="preserve"> PAGEREF _Toc435013445 \h </w:instrText>
            </w:r>
            <w:r w:rsidR="002668B2">
              <w:rPr>
                <w:noProof/>
                <w:webHidden/>
              </w:rPr>
            </w:r>
            <w:r w:rsidR="002668B2">
              <w:rPr>
                <w:noProof/>
                <w:webHidden/>
              </w:rPr>
              <w:fldChar w:fldCharType="separate"/>
            </w:r>
            <w:r w:rsidR="002668B2">
              <w:rPr>
                <w:noProof/>
                <w:webHidden/>
              </w:rPr>
              <w:t>29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6" w:history="1">
            <w:r w:rsidR="002668B2" w:rsidRPr="00AC03AE">
              <w:rPr>
                <w:rStyle w:val="Hyperlink"/>
                <w:noProof/>
              </w:rPr>
              <w:t>In § 10 Abs. 2 wird erfreulicherweise von einer federführenden Zuständigkeit eines Ministeriums gesprochen.§ 11 Abs. 1 BGG NRW</w:t>
            </w:r>
            <w:r w:rsidR="002668B2">
              <w:rPr>
                <w:noProof/>
                <w:webHidden/>
              </w:rPr>
              <w:tab/>
            </w:r>
            <w:r w:rsidR="002668B2">
              <w:rPr>
                <w:noProof/>
                <w:webHidden/>
              </w:rPr>
              <w:fldChar w:fldCharType="begin"/>
            </w:r>
            <w:r w:rsidR="002668B2">
              <w:rPr>
                <w:noProof/>
                <w:webHidden/>
              </w:rPr>
              <w:instrText xml:space="preserve"> PAGEREF _Toc435013446 \h </w:instrText>
            </w:r>
            <w:r w:rsidR="002668B2">
              <w:rPr>
                <w:noProof/>
                <w:webHidden/>
              </w:rPr>
            </w:r>
            <w:r w:rsidR="002668B2">
              <w:rPr>
                <w:noProof/>
                <w:webHidden/>
              </w:rPr>
              <w:fldChar w:fldCharType="separate"/>
            </w:r>
            <w:r w:rsidR="002668B2">
              <w:rPr>
                <w:noProof/>
                <w:webHidden/>
              </w:rPr>
              <w:t>29</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7" w:history="1">
            <w:r w:rsidR="002668B2" w:rsidRPr="00AC03AE">
              <w:rPr>
                <w:rStyle w:val="Hyperlink"/>
                <w:noProof/>
              </w:rPr>
              <w:t>§ 12 Abs. 1 BGG NRW</w:t>
            </w:r>
            <w:r w:rsidR="002668B2">
              <w:rPr>
                <w:noProof/>
                <w:webHidden/>
              </w:rPr>
              <w:tab/>
            </w:r>
            <w:r w:rsidR="002668B2">
              <w:rPr>
                <w:noProof/>
                <w:webHidden/>
              </w:rPr>
              <w:fldChar w:fldCharType="begin"/>
            </w:r>
            <w:r w:rsidR="002668B2">
              <w:rPr>
                <w:noProof/>
                <w:webHidden/>
              </w:rPr>
              <w:instrText xml:space="preserve"> PAGEREF _Toc435013447 \h </w:instrText>
            </w:r>
            <w:r w:rsidR="002668B2">
              <w:rPr>
                <w:noProof/>
                <w:webHidden/>
              </w:rPr>
            </w:r>
            <w:r w:rsidR="002668B2">
              <w:rPr>
                <w:noProof/>
                <w:webHidden/>
              </w:rPr>
              <w:fldChar w:fldCharType="separate"/>
            </w:r>
            <w:r w:rsidR="002668B2">
              <w:rPr>
                <w:noProof/>
                <w:webHidden/>
              </w:rPr>
              <w:t>30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8" w:history="1">
            <w:r w:rsidR="002668B2" w:rsidRPr="00AC03AE">
              <w:rPr>
                <w:rStyle w:val="Hyperlink"/>
                <w:noProof/>
              </w:rPr>
              <w:t>§ 12 Abs. 2 S. 1 BGG NRW</w:t>
            </w:r>
            <w:r w:rsidR="002668B2">
              <w:rPr>
                <w:noProof/>
                <w:webHidden/>
              </w:rPr>
              <w:tab/>
            </w:r>
            <w:r w:rsidR="002668B2">
              <w:rPr>
                <w:noProof/>
                <w:webHidden/>
              </w:rPr>
              <w:fldChar w:fldCharType="begin"/>
            </w:r>
            <w:r w:rsidR="002668B2">
              <w:rPr>
                <w:noProof/>
                <w:webHidden/>
              </w:rPr>
              <w:instrText xml:space="preserve"> PAGEREF _Toc435013448 \h </w:instrText>
            </w:r>
            <w:r w:rsidR="002668B2">
              <w:rPr>
                <w:noProof/>
                <w:webHidden/>
              </w:rPr>
            </w:r>
            <w:r w:rsidR="002668B2">
              <w:rPr>
                <w:noProof/>
                <w:webHidden/>
              </w:rPr>
              <w:fldChar w:fldCharType="separate"/>
            </w:r>
            <w:r w:rsidR="002668B2">
              <w:rPr>
                <w:noProof/>
                <w:webHidden/>
              </w:rPr>
              <w:t>30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49" w:history="1">
            <w:r w:rsidR="002668B2" w:rsidRPr="00AC03AE">
              <w:rPr>
                <w:rStyle w:val="Hyperlink"/>
                <w:noProof/>
              </w:rPr>
              <w:t>§ 12 Abs. 2 S. 2 BGG NRW</w:t>
            </w:r>
            <w:r w:rsidR="002668B2">
              <w:rPr>
                <w:noProof/>
                <w:webHidden/>
              </w:rPr>
              <w:tab/>
            </w:r>
            <w:r w:rsidR="002668B2">
              <w:rPr>
                <w:noProof/>
                <w:webHidden/>
              </w:rPr>
              <w:fldChar w:fldCharType="begin"/>
            </w:r>
            <w:r w:rsidR="002668B2">
              <w:rPr>
                <w:noProof/>
                <w:webHidden/>
              </w:rPr>
              <w:instrText xml:space="preserve"> PAGEREF _Toc435013449 \h </w:instrText>
            </w:r>
            <w:r w:rsidR="002668B2">
              <w:rPr>
                <w:noProof/>
                <w:webHidden/>
              </w:rPr>
            </w:r>
            <w:r w:rsidR="002668B2">
              <w:rPr>
                <w:noProof/>
                <w:webHidden/>
              </w:rPr>
              <w:fldChar w:fldCharType="separate"/>
            </w:r>
            <w:r w:rsidR="002668B2">
              <w:rPr>
                <w:noProof/>
                <w:webHidden/>
              </w:rPr>
              <w:t>30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0" w:history="1">
            <w:r w:rsidR="002668B2" w:rsidRPr="00AC03AE">
              <w:rPr>
                <w:rStyle w:val="Hyperlink"/>
                <w:noProof/>
              </w:rPr>
              <w:t>§ 12 Abs. 3 S. 3 BGG NRW</w:t>
            </w:r>
            <w:r w:rsidR="002668B2">
              <w:rPr>
                <w:noProof/>
                <w:webHidden/>
              </w:rPr>
              <w:tab/>
            </w:r>
            <w:r w:rsidR="002668B2">
              <w:rPr>
                <w:noProof/>
                <w:webHidden/>
              </w:rPr>
              <w:fldChar w:fldCharType="begin"/>
            </w:r>
            <w:r w:rsidR="002668B2">
              <w:rPr>
                <w:noProof/>
                <w:webHidden/>
              </w:rPr>
              <w:instrText xml:space="preserve"> PAGEREF _Toc435013450 \h </w:instrText>
            </w:r>
            <w:r w:rsidR="002668B2">
              <w:rPr>
                <w:noProof/>
                <w:webHidden/>
              </w:rPr>
            </w:r>
            <w:r w:rsidR="002668B2">
              <w:rPr>
                <w:noProof/>
                <w:webHidden/>
              </w:rPr>
              <w:fldChar w:fldCharType="separate"/>
            </w:r>
            <w:r w:rsidR="002668B2">
              <w:rPr>
                <w:noProof/>
                <w:webHidden/>
              </w:rPr>
              <w:t>30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1" w:history="1">
            <w:r w:rsidR="002668B2" w:rsidRPr="00AC03AE">
              <w:rPr>
                <w:rStyle w:val="Hyperlink"/>
                <w:noProof/>
              </w:rPr>
              <w:t>§ 13 (Wahrung der Belange von Menschen mit Behinderungen auf örtlicher Ebene)</w:t>
            </w:r>
            <w:r w:rsidR="002668B2">
              <w:rPr>
                <w:noProof/>
                <w:webHidden/>
              </w:rPr>
              <w:tab/>
            </w:r>
            <w:r w:rsidR="002668B2">
              <w:rPr>
                <w:noProof/>
                <w:webHidden/>
              </w:rPr>
              <w:fldChar w:fldCharType="begin"/>
            </w:r>
            <w:r w:rsidR="002668B2">
              <w:rPr>
                <w:noProof/>
                <w:webHidden/>
              </w:rPr>
              <w:instrText xml:space="preserve"> PAGEREF _Toc435013451 \h </w:instrText>
            </w:r>
            <w:r w:rsidR="002668B2">
              <w:rPr>
                <w:noProof/>
                <w:webHidden/>
              </w:rPr>
            </w:r>
            <w:r w:rsidR="002668B2">
              <w:rPr>
                <w:noProof/>
                <w:webHidden/>
              </w:rPr>
              <w:fldChar w:fldCharType="separate"/>
            </w:r>
            <w:r w:rsidR="002668B2">
              <w:rPr>
                <w:noProof/>
                <w:webHidden/>
              </w:rPr>
              <w:t>30</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2" w:history="1">
            <w:r w:rsidR="002668B2" w:rsidRPr="00AC03AE">
              <w:rPr>
                <w:rStyle w:val="Hyperlink"/>
                <w:noProof/>
              </w:rPr>
              <w:t>§ 14 Abs. 1 BGG NRW</w:t>
            </w:r>
            <w:r w:rsidR="002668B2">
              <w:rPr>
                <w:noProof/>
                <w:webHidden/>
              </w:rPr>
              <w:tab/>
            </w:r>
            <w:r w:rsidR="002668B2">
              <w:rPr>
                <w:noProof/>
                <w:webHidden/>
              </w:rPr>
              <w:fldChar w:fldCharType="begin"/>
            </w:r>
            <w:r w:rsidR="002668B2">
              <w:rPr>
                <w:noProof/>
                <w:webHidden/>
              </w:rPr>
              <w:instrText xml:space="preserve"> PAGEREF _Toc435013452 \h </w:instrText>
            </w:r>
            <w:r w:rsidR="002668B2">
              <w:rPr>
                <w:noProof/>
                <w:webHidden/>
              </w:rPr>
            </w:r>
            <w:r w:rsidR="002668B2">
              <w:rPr>
                <w:noProof/>
                <w:webHidden/>
              </w:rPr>
              <w:fldChar w:fldCharType="separate"/>
            </w:r>
            <w:r w:rsidR="002668B2">
              <w:rPr>
                <w:noProof/>
                <w:webHidden/>
              </w:rPr>
              <w:t>31</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3" w:history="1">
            <w:r w:rsidR="002668B2" w:rsidRPr="00AC03AE">
              <w:rPr>
                <w:rStyle w:val="Hyperlink"/>
                <w:noProof/>
              </w:rPr>
              <w:t>§ 14 Abs. 2 BGG NRW</w:t>
            </w:r>
            <w:r w:rsidR="002668B2">
              <w:rPr>
                <w:noProof/>
                <w:webHidden/>
              </w:rPr>
              <w:tab/>
            </w:r>
            <w:r w:rsidR="002668B2">
              <w:rPr>
                <w:noProof/>
                <w:webHidden/>
              </w:rPr>
              <w:fldChar w:fldCharType="begin"/>
            </w:r>
            <w:r w:rsidR="002668B2">
              <w:rPr>
                <w:noProof/>
                <w:webHidden/>
              </w:rPr>
              <w:instrText xml:space="preserve"> PAGEREF _Toc435013453 \h </w:instrText>
            </w:r>
            <w:r w:rsidR="002668B2">
              <w:rPr>
                <w:noProof/>
                <w:webHidden/>
              </w:rPr>
            </w:r>
            <w:r w:rsidR="002668B2">
              <w:rPr>
                <w:noProof/>
                <w:webHidden/>
              </w:rPr>
              <w:fldChar w:fldCharType="separate"/>
            </w:r>
            <w:r w:rsidR="002668B2">
              <w:rPr>
                <w:noProof/>
                <w:webHidden/>
              </w:rPr>
              <w:t>31</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54" w:history="1">
            <w:r w:rsidR="002668B2" w:rsidRPr="00AC03AE">
              <w:rPr>
                <w:rStyle w:val="Hyperlink"/>
              </w:rPr>
              <w:t>Anmerkungen zu Art. 3: Änderung des Landesausführungsgesetzes zum Sozialgesetzbuch Zwölftes Buches (SGB XII) für das Land Nordrhein-Westfalen</w:t>
            </w:r>
            <w:r w:rsidR="002668B2">
              <w:rPr>
                <w:webHidden/>
              </w:rPr>
              <w:tab/>
            </w:r>
            <w:r w:rsidR="002668B2">
              <w:rPr>
                <w:webHidden/>
              </w:rPr>
              <w:fldChar w:fldCharType="begin"/>
            </w:r>
            <w:r w:rsidR="002668B2">
              <w:rPr>
                <w:webHidden/>
              </w:rPr>
              <w:instrText xml:space="preserve"> PAGEREF _Toc435013454 \h </w:instrText>
            </w:r>
            <w:r w:rsidR="002668B2">
              <w:rPr>
                <w:webHidden/>
              </w:rPr>
            </w:r>
            <w:r w:rsidR="002668B2">
              <w:rPr>
                <w:webHidden/>
              </w:rPr>
              <w:fldChar w:fldCharType="separate"/>
            </w:r>
            <w:r w:rsidR="002668B2">
              <w:rPr>
                <w:webHidden/>
              </w:rPr>
              <w:t>31</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5" w:history="1">
            <w:r w:rsidR="002668B2" w:rsidRPr="00AC03AE">
              <w:rPr>
                <w:rStyle w:val="Hyperlink"/>
                <w:noProof/>
              </w:rPr>
              <w:t>§ 2 Abs. 1 und 2 AG SGB XII NRW</w:t>
            </w:r>
            <w:r w:rsidR="002668B2">
              <w:rPr>
                <w:noProof/>
                <w:webHidden/>
              </w:rPr>
              <w:tab/>
            </w:r>
            <w:r w:rsidR="002668B2">
              <w:rPr>
                <w:noProof/>
                <w:webHidden/>
              </w:rPr>
              <w:fldChar w:fldCharType="begin"/>
            </w:r>
            <w:r w:rsidR="002668B2">
              <w:rPr>
                <w:noProof/>
                <w:webHidden/>
              </w:rPr>
              <w:instrText xml:space="preserve"> PAGEREF _Toc435013455 \h </w:instrText>
            </w:r>
            <w:r w:rsidR="002668B2">
              <w:rPr>
                <w:noProof/>
                <w:webHidden/>
              </w:rPr>
            </w:r>
            <w:r w:rsidR="002668B2">
              <w:rPr>
                <w:noProof/>
                <w:webHidden/>
              </w:rPr>
              <w:fldChar w:fldCharType="separate"/>
            </w:r>
            <w:r w:rsidR="002668B2">
              <w:rPr>
                <w:noProof/>
                <w:webHidden/>
              </w:rPr>
              <w:t>31</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6" w:history="1">
            <w:r w:rsidR="002668B2" w:rsidRPr="00AC03AE">
              <w:rPr>
                <w:rStyle w:val="Hyperlink"/>
                <w:noProof/>
              </w:rPr>
              <w:t>§ 2a AG SGB XII NRW</w:t>
            </w:r>
            <w:r w:rsidR="002668B2">
              <w:rPr>
                <w:noProof/>
                <w:webHidden/>
              </w:rPr>
              <w:tab/>
            </w:r>
            <w:r w:rsidR="002668B2">
              <w:rPr>
                <w:noProof/>
                <w:webHidden/>
              </w:rPr>
              <w:fldChar w:fldCharType="begin"/>
            </w:r>
            <w:r w:rsidR="002668B2">
              <w:rPr>
                <w:noProof/>
                <w:webHidden/>
              </w:rPr>
              <w:instrText xml:space="preserve"> PAGEREF _Toc435013456 \h </w:instrText>
            </w:r>
            <w:r w:rsidR="002668B2">
              <w:rPr>
                <w:noProof/>
                <w:webHidden/>
              </w:rPr>
            </w:r>
            <w:r w:rsidR="002668B2">
              <w:rPr>
                <w:noProof/>
                <w:webHidden/>
              </w:rPr>
              <w:fldChar w:fldCharType="separate"/>
            </w:r>
            <w:r w:rsidR="002668B2">
              <w:rPr>
                <w:noProof/>
                <w:webHidden/>
              </w:rPr>
              <w:t>32</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7" w:history="1">
            <w:r w:rsidR="002668B2" w:rsidRPr="00AC03AE">
              <w:rPr>
                <w:rStyle w:val="Hyperlink"/>
                <w:noProof/>
              </w:rPr>
              <w:t>§ 2b AG SGB XII NRW</w:t>
            </w:r>
            <w:r w:rsidR="002668B2">
              <w:rPr>
                <w:noProof/>
                <w:webHidden/>
              </w:rPr>
              <w:tab/>
            </w:r>
            <w:r w:rsidR="002668B2">
              <w:rPr>
                <w:noProof/>
                <w:webHidden/>
              </w:rPr>
              <w:fldChar w:fldCharType="begin"/>
            </w:r>
            <w:r w:rsidR="002668B2">
              <w:rPr>
                <w:noProof/>
                <w:webHidden/>
              </w:rPr>
              <w:instrText xml:space="preserve"> PAGEREF _Toc435013457 \h </w:instrText>
            </w:r>
            <w:r w:rsidR="002668B2">
              <w:rPr>
                <w:noProof/>
                <w:webHidden/>
              </w:rPr>
            </w:r>
            <w:r w:rsidR="002668B2">
              <w:rPr>
                <w:noProof/>
                <w:webHidden/>
              </w:rPr>
              <w:fldChar w:fldCharType="separate"/>
            </w:r>
            <w:r w:rsidR="002668B2">
              <w:rPr>
                <w:noProof/>
                <w:webHidden/>
              </w:rPr>
              <w:t>32</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8" w:history="1">
            <w:r w:rsidR="002668B2" w:rsidRPr="00AC03AE">
              <w:rPr>
                <w:rStyle w:val="Hyperlink"/>
                <w:noProof/>
              </w:rPr>
              <w:t>§ 7 Abs. 6 S. 2 AG SGB XII NRW</w:t>
            </w:r>
            <w:r w:rsidR="002668B2">
              <w:rPr>
                <w:noProof/>
                <w:webHidden/>
              </w:rPr>
              <w:tab/>
            </w:r>
            <w:r w:rsidR="002668B2">
              <w:rPr>
                <w:noProof/>
                <w:webHidden/>
              </w:rPr>
              <w:fldChar w:fldCharType="begin"/>
            </w:r>
            <w:r w:rsidR="002668B2">
              <w:rPr>
                <w:noProof/>
                <w:webHidden/>
              </w:rPr>
              <w:instrText xml:space="preserve"> PAGEREF _Toc435013458 \h </w:instrText>
            </w:r>
            <w:r w:rsidR="002668B2">
              <w:rPr>
                <w:noProof/>
                <w:webHidden/>
              </w:rPr>
            </w:r>
            <w:r w:rsidR="002668B2">
              <w:rPr>
                <w:noProof/>
                <w:webHidden/>
              </w:rPr>
              <w:fldChar w:fldCharType="separate"/>
            </w:r>
            <w:r w:rsidR="002668B2">
              <w:rPr>
                <w:noProof/>
                <w:webHidden/>
              </w:rPr>
              <w:t>33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59" w:history="1">
            <w:r w:rsidR="002668B2" w:rsidRPr="00AC03AE">
              <w:rPr>
                <w:rStyle w:val="Hyperlink"/>
                <w:noProof/>
              </w:rPr>
              <w:t>§ 8 AG SGB XII NRW</w:t>
            </w:r>
            <w:r w:rsidR="002668B2">
              <w:rPr>
                <w:noProof/>
                <w:webHidden/>
              </w:rPr>
              <w:tab/>
            </w:r>
            <w:r w:rsidR="002668B2">
              <w:rPr>
                <w:noProof/>
                <w:webHidden/>
              </w:rPr>
              <w:fldChar w:fldCharType="begin"/>
            </w:r>
            <w:r w:rsidR="002668B2">
              <w:rPr>
                <w:noProof/>
                <w:webHidden/>
              </w:rPr>
              <w:instrText xml:space="preserve"> PAGEREF _Toc435013459 \h </w:instrText>
            </w:r>
            <w:r w:rsidR="002668B2">
              <w:rPr>
                <w:noProof/>
                <w:webHidden/>
              </w:rPr>
            </w:r>
            <w:r w:rsidR="002668B2">
              <w:rPr>
                <w:noProof/>
                <w:webHidden/>
              </w:rPr>
              <w:fldChar w:fldCharType="separate"/>
            </w:r>
            <w:r w:rsidR="002668B2">
              <w:rPr>
                <w:noProof/>
                <w:webHidden/>
              </w:rPr>
              <w:t>33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0" w:history="1">
            <w:r w:rsidR="002668B2" w:rsidRPr="00AC03AE">
              <w:rPr>
                <w:rStyle w:val="Hyperlink"/>
                <w:noProof/>
              </w:rPr>
              <w:t>§ 9 AG SGB XII NRW</w:t>
            </w:r>
            <w:r w:rsidR="002668B2">
              <w:rPr>
                <w:noProof/>
                <w:webHidden/>
              </w:rPr>
              <w:tab/>
            </w:r>
            <w:r w:rsidR="002668B2">
              <w:rPr>
                <w:noProof/>
                <w:webHidden/>
              </w:rPr>
              <w:fldChar w:fldCharType="begin"/>
            </w:r>
            <w:r w:rsidR="002668B2">
              <w:rPr>
                <w:noProof/>
                <w:webHidden/>
              </w:rPr>
              <w:instrText xml:space="preserve"> PAGEREF _Toc435013460 \h </w:instrText>
            </w:r>
            <w:r w:rsidR="002668B2">
              <w:rPr>
                <w:noProof/>
                <w:webHidden/>
              </w:rPr>
            </w:r>
            <w:r w:rsidR="002668B2">
              <w:rPr>
                <w:noProof/>
                <w:webHidden/>
              </w:rPr>
              <w:fldChar w:fldCharType="separate"/>
            </w:r>
            <w:r w:rsidR="002668B2">
              <w:rPr>
                <w:noProof/>
                <w:webHidden/>
              </w:rPr>
              <w:t>33</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1" w:history="1">
            <w:r w:rsidR="002668B2" w:rsidRPr="00AC03AE">
              <w:rPr>
                <w:rStyle w:val="Hyperlink"/>
                <w:noProof/>
              </w:rPr>
              <w:t>§ 10 AG SGB XII NRW</w:t>
            </w:r>
            <w:r w:rsidR="002668B2">
              <w:rPr>
                <w:noProof/>
                <w:webHidden/>
              </w:rPr>
              <w:tab/>
            </w:r>
            <w:r w:rsidR="002668B2">
              <w:rPr>
                <w:noProof/>
                <w:webHidden/>
              </w:rPr>
              <w:fldChar w:fldCharType="begin"/>
            </w:r>
            <w:r w:rsidR="002668B2">
              <w:rPr>
                <w:noProof/>
                <w:webHidden/>
              </w:rPr>
              <w:instrText xml:space="preserve"> PAGEREF _Toc435013461 \h </w:instrText>
            </w:r>
            <w:r w:rsidR="002668B2">
              <w:rPr>
                <w:noProof/>
                <w:webHidden/>
              </w:rPr>
            </w:r>
            <w:r w:rsidR="002668B2">
              <w:rPr>
                <w:noProof/>
                <w:webHidden/>
              </w:rPr>
              <w:fldChar w:fldCharType="separate"/>
            </w:r>
            <w:r w:rsidR="002668B2">
              <w:rPr>
                <w:noProof/>
                <w:webHidden/>
              </w:rPr>
              <w:t>34</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62" w:history="1">
            <w:r w:rsidR="002668B2" w:rsidRPr="00AC03AE">
              <w:rPr>
                <w:rStyle w:val="Hyperlink"/>
              </w:rPr>
              <w:t>Anmerkungen zu Art. 4: Änderung des Kinderbildungsgesetzes</w:t>
            </w:r>
            <w:r w:rsidR="002668B2">
              <w:rPr>
                <w:webHidden/>
              </w:rPr>
              <w:tab/>
            </w:r>
            <w:r w:rsidR="002668B2">
              <w:rPr>
                <w:webHidden/>
              </w:rPr>
              <w:fldChar w:fldCharType="begin"/>
            </w:r>
            <w:r w:rsidR="002668B2">
              <w:rPr>
                <w:webHidden/>
              </w:rPr>
              <w:instrText xml:space="preserve"> PAGEREF _Toc435013462 \h </w:instrText>
            </w:r>
            <w:r w:rsidR="002668B2">
              <w:rPr>
                <w:webHidden/>
              </w:rPr>
            </w:r>
            <w:r w:rsidR="002668B2">
              <w:rPr>
                <w:webHidden/>
              </w:rPr>
              <w:fldChar w:fldCharType="separate"/>
            </w:r>
            <w:r w:rsidR="002668B2">
              <w:rPr>
                <w:webHidden/>
              </w:rPr>
              <w:t>34</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3" w:history="1">
            <w:r w:rsidR="002668B2" w:rsidRPr="00AC03AE">
              <w:rPr>
                <w:rStyle w:val="Hyperlink"/>
                <w:noProof/>
              </w:rPr>
              <w:t>§ 9 Abs. 1 KiBiz</w:t>
            </w:r>
            <w:r w:rsidR="002668B2">
              <w:rPr>
                <w:noProof/>
                <w:webHidden/>
              </w:rPr>
              <w:tab/>
            </w:r>
            <w:r w:rsidR="002668B2">
              <w:rPr>
                <w:noProof/>
                <w:webHidden/>
              </w:rPr>
              <w:fldChar w:fldCharType="begin"/>
            </w:r>
            <w:r w:rsidR="002668B2">
              <w:rPr>
                <w:noProof/>
                <w:webHidden/>
              </w:rPr>
              <w:instrText xml:space="preserve"> PAGEREF _Toc435013463 \h </w:instrText>
            </w:r>
            <w:r w:rsidR="002668B2">
              <w:rPr>
                <w:noProof/>
                <w:webHidden/>
              </w:rPr>
            </w:r>
            <w:r w:rsidR="002668B2">
              <w:rPr>
                <w:noProof/>
                <w:webHidden/>
              </w:rPr>
              <w:fldChar w:fldCharType="separate"/>
            </w:r>
            <w:r w:rsidR="002668B2">
              <w:rPr>
                <w:noProof/>
                <w:webHidden/>
              </w:rPr>
              <w:t>34</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64" w:history="1">
            <w:r w:rsidR="002668B2" w:rsidRPr="00AC03AE">
              <w:rPr>
                <w:rStyle w:val="Hyperlink"/>
              </w:rPr>
              <w:t>Anmerkungen zu Art. 5: Änderung des Schulgesetzes NRW</w:t>
            </w:r>
            <w:r w:rsidR="002668B2">
              <w:rPr>
                <w:webHidden/>
              </w:rPr>
              <w:tab/>
            </w:r>
            <w:r w:rsidR="002668B2">
              <w:rPr>
                <w:webHidden/>
              </w:rPr>
              <w:fldChar w:fldCharType="begin"/>
            </w:r>
            <w:r w:rsidR="002668B2">
              <w:rPr>
                <w:webHidden/>
              </w:rPr>
              <w:instrText xml:space="preserve"> PAGEREF _Toc435013464 \h </w:instrText>
            </w:r>
            <w:r w:rsidR="002668B2">
              <w:rPr>
                <w:webHidden/>
              </w:rPr>
            </w:r>
            <w:r w:rsidR="002668B2">
              <w:rPr>
                <w:webHidden/>
              </w:rPr>
              <w:fldChar w:fldCharType="separate"/>
            </w:r>
            <w:r w:rsidR="002668B2">
              <w:rPr>
                <w:webHidden/>
              </w:rPr>
              <w:t>35</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5" w:history="1">
            <w:r w:rsidR="002668B2" w:rsidRPr="00AC03AE">
              <w:rPr>
                <w:rStyle w:val="Hyperlink"/>
                <w:noProof/>
              </w:rPr>
              <w:t>§ 42 Abs. 4 SchulG NRW</w:t>
            </w:r>
            <w:r w:rsidR="002668B2">
              <w:rPr>
                <w:noProof/>
                <w:webHidden/>
              </w:rPr>
              <w:tab/>
            </w:r>
            <w:r w:rsidR="002668B2">
              <w:rPr>
                <w:noProof/>
                <w:webHidden/>
              </w:rPr>
              <w:fldChar w:fldCharType="begin"/>
            </w:r>
            <w:r w:rsidR="002668B2">
              <w:rPr>
                <w:noProof/>
                <w:webHidden/>
              </w:rPr>
              <w:instrText xml:space="preserve"> PAGEREF _Toc435013465 \h </w:instrText>
            </w:r>
            <w:r w:rsidR="002668B2">
              <w:rPr>
                <w:noProof/>
                <w:webHidden/>
              </w:rPr>
            </w:r>
            <w:r w:rsidR="002668B2">
              <w:rPr>
                <w:noProof/>
                <w:webHidden/>
              </w:rPr>
              <w:fldChar w:fldCharType="separate"/>
            </w:r>
            <w:r w:rsidR="002668B2">
              <w:rPr>
                <w:noProof/>
                <w:webHidden/>
              </w:rPr>
              <w:t>35</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6" w:history="1">
            <w:r w:rsidR="002668B2" w:rsidRPr="00AC03AE">
              <w:rPr>
                <w:rStyle w:val="Hyperlink"/>
                <w:noProof/>
              </w:rPr>
              <w:t>§ 100 Abs. 3 SchulG NRW</w:t>
            </w:r>
            <w:r w:rsidR="002668B2">
              <w:rPr>
                <w:noProof/>
                <w:webHidden/>
              </w:rPr>
              <w:tab/>
            </w:r>
            <w:r w:rsidR="002668B2">
              <w:rPr>
                <w:noProof/>
                <w:webHidden/>
              </w:rPr>
              <w:fldChar w:fldCharType="begin"/>
            </w:r>
            <w:r w:rsidR="002668B2">
              <w:rPr>
                <w:noProof/>
                <w:webHidden/>
              </w:rPr>
              <w:instrText xml:space="preserve"> PAGEREF _Toc435013466 \h </w:instrText>
            </w:r>
            <w:r w:rsidR="002668B2">
              <w:rPr>
                <w:noProof/>
                <w:webHidden/>
              </w:rPr>
            </w:r>
            <w:r w:rsidR="002668B2">
              <w:rPr>
                <w:noProof/>
                <w:webHidden/>
              </w:rPr>
              <w:fldChar w:fldCharType="separate"/>
            </w:r>
            <w:r w:rsidR="002668B2">
              <w:rPr>
                <w:noProof/>
                <w:webHidden/>
              </w:rPr>
              <w:t>35</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67" w:history="1">
            <w:r w:rsidR="002668B2" w:rsidRPr="00AC03AE">
              <w:rPr>
                <w:rStyle w:val="Hyperlink"/>
              </w:rPr>
              <w:t>Anmerkungen zu Art. 6: Änderung des Landeswahlgesetzes</w:t>
            </w:r>
            <w:r w:rsidR="002668B2">
              <w:rPr>
                <w:webHidden/>
              </w:rPr>
              <w:tab/>
            </w:r>
            <w:r w:rsidR="002668B2">
              <w:rPr>
                <w:webHidden/>
              </w:rPr>
              <w:fldChar w:fldCharType="begin"/>
            </w:r>
            <w:r w:rsidR="002668B2">
              <w:rPr>
                <w:webHidden/>
              </w:rPr>
              <w:instrText xml:space="preserve"> PAGEREF _Toc435013467 \h </w:instrText>
            </w:r>
            <w:r w:rsidR="002668B2">
              <w:rPr>
                <w:webHidden/>
              </w:rPr>
            </w:r>
            <w:r w:rsidR="002668B2">
              <w:rPr>
                <w:webHidden/>
              </w:rPr>
              <w:fldChar w:fldCharType="separate"/>
            </w:r>
            <w:r w:rsidR="002668B2">
              <w:rPr>
                <w:webHidden/>
              </w:rPr>
              <w:t>35</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8" w:history="1">
            <w:r w:rsidR="002668B2" w:rsidRPr="00AC03AE">
              <w:rPr>
                <w:rStyle w:val="Hyperlink"/>
                <w:noProof/>
              </w:rPr>
              <w:t>§ 24 Abs. 1 S. 1 LWahlG</w:t>
            </w:r>
            <w:r w:rsidR="002668B2">
              <w:rPr>
                <w:noProof/>
                <w:webHidden/>
              </w:rPr>
              <w:tab/>
            </w:r>
            <w:r w:rsidR="002668B2">
              <w:rPr>
                <w:noProof/>
                <w:webHidden/>
              </w:rPr>
              <w:fldChar w:fldCharType="begin"/>
            </w:r>
            <w:r w:rsidR="002668B2">
              <w:rPr>
                <w:noProof/>
                <w:webHidden/>
              </w:rPr>
              <w:instrText xml:space="preserve"> PAGEREF _Toc435013468 \h </w:instrText>
            </w:r>
            <w:r w:rsidR="002668B2">
              <w:rPr>
                <w:noProof/>
                <w:webHidden/>
              </w:rPr>
            </w:r>
            <w:r w:rsidR="002668B2">
              <w:rPr>
                <w:noProof/>
                <w:webHidden/>
              </w:rPr>
              <w:fldChar w:fldCharType="separate"/>
            </w:r>
            <w:r w:rsidR="002668B2">
              <w:rPr>
                <w:noProof/>
                <w:webHidden/>
              </w:rPr>
              <w:t>35</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69" w:history="1">
            <w:r w:rsidR="002668B2" w:rsidRPr="00AC03AE">
              <w:rPr>
                <w:rStyle w:val="Hyperlink"/>
                <w:noProof/>
              </w:rPr>
              <w:t>§ 24 Abs. 1 S. 2 LWahlG</w:t>
            </w:r>
            <w:r w:rsidR="002668B2">
              <w:rPr>
                <w:noProof/>
                <w:webHidden/>
              </w:rPr>
              <w:tab/>
            </w:r>
            <w:r w:rsidR="002668B2">
              <w:rPr>
                <w:noProof/>
                <w:webHidden/>
              </w:rPr>
              <w:fldChar w:fldCharType="begin"/>
            </w:r>
            <w:r w:rsidR="002668B2">
              <w:rPr>
                <w:noProof/>
                <w:webHidden/>
              </w:rPr>
              <w:instrText xml:space="preserve"> PAGEREF _Toc435013469 \h </w:instrText>
            </w:r>
            <w:r w:rsidR="002668B2">
              <w:rPr>
                <w:noProof/>
                <w:webHidden/>
              </w:rPr>
            </w:r>
            <w:r w:rsidR="002668B2">
              <w:rPr>
                <w:noProof/>
                <w:webHidden/>
              </w:rPr>
              <w:fldChar w:fldCharType="separate"/>
            </w:r>
            <w:r w:rsidR="002668B2">
              <w:rPr>
                <w:noProof/>
                <w:webHidden/>
              </w:rPr>
              <w:t>36</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70" w:history="1">
            <w:r w:rsidR="002668B2" w:rsidRPr="00AC03AE">
              <w:rPr>
                <w:rStyle w:val="Hyperlink"/>
              </w:rPr>
              <w:t>Anmerkungen zu Art. 7: Änderung des Kommunalwahlgesetzes</w:t>
            </w:r>
            <w:r w:rsidR="002668B2">
              <w:rPr>
                <w:webHidden/>
              </w:rPr>
              <w:tab/>
            </w:r>
            <w:r w:rsidR="002668B2">
              <w:rPr>
                <w:webHidden/>
              </w:rPr>
              <w:fldChar w:fldCharType="begin"/>
            </w:r>
            <w:r w:rsidR="002668B2">
              <w:rPr>
                <w:webHidden/>
              </w:rPr>
              <w:instrText xml:space="preserve"> PAGEREF _Toc435013470 \h </w:instrText>
            </w:r>
            <w:r w:rsidR="002668B2">
              <w:rPr>
                <w:webHidden/>
              </w:rPr>
            </w:r>
            <w:r w:rsidR="002668B2">
              <w:rPr>
                <w:webHidden/>
              </w:rPr>
              <w:fldChar w:fldCharType="separate"/>
            </w:r>
            <w:r w:rsidR="002668B2">
              <w:rPr>
                <w:webHidden/>
              </w:rPr>
              <w:t>36</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1" w:history="1">
            <w:r w:rsidR="002668B2" w:rsidRPr="00AC03AE">
              <w:rPr>
                <w:rStyle w:val="Hyperlink"/>
                <w:noProof/>
              </w:rPr>
              <w:t>§ 23 Abs. 1 S. 1 und 2 Kommunalwahlgesetz NRW</w:t>
            </w:r>
            <w:r w:rsidR="002668B2">
              <w:rPr>
                <w:noProof/>
                <w:webHidden/>
              </w:rPr>
              <w:tab/>
            </w:r>
            <w:r w:rsidR="002668B2">
              <w:rPr>
                <w:noProof/>
                <w:webHidden/>
              </w:rPr>
              <w:fldChar w:fldCharType="begin"/>
            </w:r>
            <w:r w:rsidR="002668B2">
              <w:rPr>
                <w:noProof/>
                <w:webHidden/>
              </w:rPr>
              <w:instrText xml:space="preserve"> PAGEREF _Toc435013471 \h </w:instrText>
            </w:r>
            <w:r w:rsidR="002668B2">
              <w:rPr>
                <w:noProof/>
                <w:webHidden/>
              </w:rPr>
            </w:r>
            <w:r w:rsidR="002668B2">
              <w:rPr>
                <w:noProof/>
                <w:webHidden/>
              </w:rPr>
              <w:fldChar w:fldCharType="separate"/>
            </w:r>
            <w:r w:rsidR="002668B2">
              <w:rPr>
                <w:noProof/>
                <w:webHidden/>
              </w:rPr>
              <w:t>36</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72" w:history="1">
            <w:r w:rsidR="002668B2" w:rsidRPr="00AC03AE">
              <w:rPr>
                <w:rStyle w:val="Hyperlink"/>
              </w:rPr>
              <w:t>Anmerkungen zu Art. 8: Änderung der Kommunikationshilfeverordnung Nordrhein-Westfalen</w:t>
            </w:r>
            <w:r w:rsidR="002668B2">
              <w:rPr>
                <w:webHidden/>
              </w:rPr>
              <w:tab/>
            </w:r>
            <w:r w:rsidR="002668B2">
              <w:rPr>
                <w:webHidden/>
              </w:rPr>
              <w:fldChar w:fldCharType="begin"/>
            </w:r>
            <w:r w:rsidR="002668B2">
              <w:rPr>
                <w:webHidden/>
              </w:rPr>
              <w:instrText xml:space="preserve"> PAGEREF _Toc435013472 \h </w:instrText>
            </w:r>
            <w:r w:rsidR="002668B2">
              <w:rPr>
                <w:webHidden/>
              </w:rPr>
            </w:r>
            <w:r w:rsidR="002668B2">
              <w:rPr>
                <w:webHidden/>
              </w:rPr>
              <w:fldChar w:fldCharType="separate"/>
            </w:r>
            <w:r w:rsidR="002668B2">
              <w:rPr>
                <w:webHidden/>
              </w:rPr>
              <w:t>36</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3" w:history="1">
            <w:r w:rsidR="002668B2" w:rsidRPr="00AC03AE">
              <w:rPr>
                <w:rStyle w:val="Hyperlink"/>
                <w:noProof/>
              </w:rPr>
              <w:t>§ 1</w:t>
            </w:r>
            <w:r w:rsidR="002668B2">
              <w:rPr>
                <w:noProof/>
                <w:webHidden/>
              </w:rPr>
              <w:tab/>
            </w:r>
            <w:r w:rsidR="002668B2">
              <w:rPr>
                <w:noProof/>
                <w:webHidden/>
              </w:rPr>
              <w:fldChar w:fldCharType="begin"/>
            </w:r>
            <w:r w:rsidR="002668B2">
              <w:rPr>
                <w:noProof/>
                <w:webHidden/>
              </w:rPr>
              <w:instrText xml:space="preserve"> PAGEREF _Toc435013473 \h </w:instrText>
            </w:r>
            <w:r w:rsidR="002668B2">
              <w:rPr>
                <w:noProof/>
                <w:webHidden/>
              </w:rPr>
            </w:r>
            <w:r w:rsidR="002668B2">
              <w:rPr>
                <w:noProof/>
                <w:webHidden/>
              </w:rPr>
              <w:fldChar w:fldCharType="separate"/>
            </w:r>
            <w:r w:rsidR="002668B2">
              <w:rPr>
                <w:noProof/>
                <w:webHidden/>
              </w:rPr>
              <w:t>36</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4" w:history="1">
            <w:r w:rsidR="002668B2" w:rsidRPr="00AC03AE">
              <w:rPr>
                <w:rStyle w:val="Hyperlink"/>
                <w:noProof/>
              </w:rPr>
              <w:t>§ 2 Abs. 1</w:t>
            </w:r>
            <w:r w:rsidR="002668B2">
              <w:rPr>
                <w:noProof/>
                <w:webHidden/>
              </w:rPr>
              <w:tab/>
            </w:r>
            <w:r w:rsidR="002668B2">
              <w:rPr>
                <w:noProof/>
                <w:webHidden/>
              </w:rPr>
              <w:fldChar w:fldCharType="begin"/>
            </w:r>
            <w:r w:rsidR="002668B2">
              <w:rPr>
                <w:noProof/>
                <w:webHidden/>
              </w:rPr>
              <w:instrText xml:space="preserve"> PAGEREF _Toc435013474 \h </w:instrText>
            </w:r>
            <w:r w:rsidR="002668B2">
              <w:rPr>
                <w:noProof/>
                <w:webHidden/>
              </w:rPr>
            </w:r>
            <w:r w:rsidR="002668B2">
              <w:rPr>
                <w:noProof/>
                <w:webHidden/>
              </w:rPr>
              <w:fldChar w:fldCharType="separate"/>
            </w:r>
            <w:r w:rsidR="002668B2">
              <w:rPr>
                <w:noProof/>
                <w:webHidden/>
              </w:rPr>
              <w:t>37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5" w:history="1">
            <w:r w:rsidR="002668B2" w:rsidRPr="00AC03AE">
              <w:rPr>
                <w:rStyle w:val="Hyperlink"/>
                <w:noProof/>
              </w:rPr>
              <w:t>§ 2 Abs. 2</w:t>
            </w:r>
            <w:r w:rsidR="002668B2">
              <w:rPr>
                <w:noProof/>
                <w:webHidden/>
              </w:rPr>
              <w:tab/>
            </w:r>
            <w:r w:rsidR="002668B2">
              <w:rPr>
                <w:noProof/>
                <w:webHidden/>
              </w:rPr>
              <w:fldChar w:fldCharType="begin"/>
            </w:r>
            <w:r w:rsidR="002668B2">
              <w:rPr>
                <w:noProof/>
                <w:webHidden/>
              </w:rPr>
              <w:instrText xml:space="preserve"> PAGEREF _Toc435013475 \h </w:instrText>
            </w:r>
            <w:r w:rsidR="002668B2">
              <w:rPr>
                <w:noProof/>
                <w:webHidden/>
              </w:rPr>
            </w:r>
            <w:r w:rsidR="002668B2">
              <w:rPr>
                <w:noProof/>
                <w:webHidden/>
              </w:rPr>
              <w:fldChar w:fldCharType="separate"/>
            </w:r>
            <w:r w:rsidR="002668B2">
              <w:rPr>
                <w:noProof/>
                <w:webHidden/>
              </w:rPr>
              <w:t>37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6" w:history="1">
            <w:r w:rsidR="002668B2" w:rsidRPr="00AC03AE">
              <w:rPr>
                <w:rStyle w:val="Hyperlink"/>
                <w:noProof/>
              </w:rPr>
              <w:t>§ 2 Abs. 4</w:t>
            </w:r>
            <w:r w:rsidR="002668B2">
              <w:rPr>
                <w:noProof/>
                <w:webHidden/>
              </w:rPr>
              <w:tab/>
            </w:r>
            <w:r w:rsidR="002668B2">
              <w:rPr>
                <w:noProof/>
                <w:webHidden/>
              </w:rPr>
              <w:fldChar w:fldCharType="begin"/>
            </w:r>
            <w:r w:rsidR="002668B2">
              <w:rPr>
                <w:noProof/>
                <w:webHidden/>
              </w:rPr>
              <w:instrText xml:space="preserve"> PAGEREF _Toc435013476 \h </w:instrText>
            </w:r>
            <w:r w:rsidR="002668B2">
              <w:rPr>
                <w:noProof/>
                <w:webHidden/>
              </w:rPr>
            </w:r>
            <w:r w:rsidR="002668B2">
              <w:rPr>
                <w:noProof/>
                <w:webHidden/>
              </w:rPr>
              <w:fldChar w:fldCharType="separate"/>
            </w:r>
            <w:r w:rsidR="002668B2">
              <w:rPr>
                <w:noProof/>
                <w:webHidden/>
              </w:rPr>
              <w:t>37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7" w:history="1">
            <w:r w:rsidR="002668B2" w:rsidRPr="00AC03AE">
              <w:rPr>
                <w:rStyle w:val="Hyperlink"/>
                <w:noProof/>
              </w:rPr>
              <w:t>§ 3 Abs. 1 und 2</w:t>
            </w:r>
            <w:r w:rsidR="002668B2">
              <w:rPr>
                <w:noProof/>
                <w:webHidden/>
              </w:rPr>
              <w:tab/>
            </w:r>
            <w:r w:rsidR="002668B2">
              <w:rPr>
                <w:noProof/>
                <w:webHidden/>
              </w:rPr>
              <w:fldChar w:fldCharType="begin"/>
            </w:r>
            <w:r w:rsidR="002668B2">
              <w:rPr>
                <w:noProof/>
                <w:webHidden/>
              </w:rPr>
              <w:instrText xml:space="preserve"> PAGEREF _Toc435013477 \h </w:instrText>
            </w:r>
            <w:r w:rsidR="002668B2">
              <w:rPr>
                <w:noProof/>
                <w:webHidden/>
              </w:rPr>
            </w:r>
            <w:r w:rsidR="002668B2">
              <w:rPr>
                <w:noProof/>
                <w:webHidden/>
              </w:rPr>
              <w:fldChar w:fldCharType="separate"/>
            </w:r>
            <w:r w:rsidR="002668B2">
              <w:rPr>
                <w:noProof/>
                <w:webHidden/>
              </w:rPr>
              <w:t>37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8" w:history="1">
            <w:r w:rsidR="002668B2" w:rsidRPr="00AC03AE">
              <w:rPr>
                <w:rStyle w:val="Hyperlink"/>
                <w:noProof/>
              </w:rPr>
              <w:t>§ 4</w:t>
            </w:r>
            <w:r w:rsidR="002668B2">
              <w:rPr>
                <w:noProof/>
                <w:webHidden/>
              </w:rPr>
              <w:tab/>
            </w:r>
            <w:r w:rsidR="002668B2">
              <w:rPr>
                <w:noProof/>
                <w:webHidden/>
              </w:rPr>
              <w:fldChar w:fldCharType="begin"/>
            </w:r>
            <w:r w:rsidR="002668B2">
              <w:rPr>
                <w:noProof/>
                <w:webHidden/>
              </w:rPr>
              <w:instrText xml:space="preserve"> PAGEREF _Toc435013478 \h </w:instrText>
            </w:r>
            <w:r w:rsidR="002668B2">
              <w:rPr>
                <w:noProof/>
                <w:webHidden/>
              </w:rPr>
            </w:r>
            <w:r w:rsidR="002668B2">
              <w:rPr>
                <w:noProof/>
                <w:webHidden/>
              </w:rPr>
              <w:fldChar w:fldCharType="separate"/>
            </w:r>
            <w:r w:rsidR="002668B2">
              <w:rPr>
                <w:noProof/>
                <w:webHidden/>
              </w:rPr>
              <w:t>37</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79" w:history="1">
            <w:r w:rsidR="002668B2" w:rsidRPr="00AC03AE">
              <w:rPr>
                <w:rStyle w:val="Hyperlink"/>
                <w:noProof/>
              </w:rPr>
              <w:t>§ 5 Abs. 1 - Abs. 5</w:t>
            </w:r>
            <w:r w:rsidR="002668B2">
              <w:rPr>
                <w:noProof/>
                <w:webHidden/>
              </w:rPr>
              <w:tab/>
            </w:r>
            <w:r w:rsidR="002668B2">
              <w:rPr>
                <w:noProof/>
                <w:webHidden/>
              </w:rPr>
              <w:fldChar w:fldCharType="begin"/>
            </w:r>
            <w:r w:rsidR="002668B2">
              <w:rPr>
                <w:noProof/>
                <w:webHidden/>
              </w:rPr>
              <w:instrText xml:space="preserve"> PAGEREF _Toc435013479 \h </w:instrText>
            </w:r>
            <w:r w:rsidR="002668B2">
              <w:rPr>
                <w:noProof/>
                <w:webHidden/>
              </w:rPr>
            </w:r>
            <w:r w:rsidR="002668B2">
              <w:rPr>
                <w:noProof/>
                <w:webHidden/>
              </w:rPr>
              <w:fldChar w:fldCharType="separate"/>
            </w:r>
            <w:r w:rsidR="002668B2">
              <w:rPr>
                <w:noProof/>
                <w:webHidden/>
              </w:rPr>
              <w:t>38</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80" w:history="1">
            <w:r w:rsidR="002668B2" w:rsidRPr="00AC03AE">
              <w:rPr>
                <w:rStyle w:val="Hyperlink"/>
              </w:rPr>
              <w:t>Anmerkungen zu Art. 9: Änderung der Verordnung über barrierefreie Dokumente</w:t>
            </w:r>
            <w:r w:rsidR="002668B2">
              <w:rPr>
                <w:webHidden/>
              </w:rPr>
              <w:tab/>
            </w:r>
            <w:r w:rsidR="002668B2">
              <w:rPr>
                <w:webHidden/>
              </w:rPr>
              <w:fldChar w:fldCharType="begin"/>
            </w:r>
            <w:r w:rsidR="002668B2">
              <w:rPr>
                <w:webHidden/>
              </w:rPr>
              <w:instrText xml:space="preserve"> PAGEREF _Toc435013480 \h </w:instrText>
            </w:r>
            <w:r w:rsidR="002668B2">
              <w:rPr>
                <w:webHidden/>
              </w:rPr>
            </w:r>
            <w:r w:rsidR="002668B2">
              <w:rPr>
                <w:webHidden/>
              </w:rPr>
              <w:fldChar w:fldCharType="separate"/>
            </w:r>
            <w:r w:rsidR="002668B2">
              <w:rPr>
                <w:webHidden/>
              </w:rPr>
              <w:t>38</w:t>
            </w:r>
            <w:r w:rsidR="002668B2">
              <w:rPr>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81" w:history="1">
            <w:r w:rsidR="002668B2" w:rsidRPr="00AC03AE">
              <w:rPr>
                <w:rStyle w:val="Hyperlink"/>
                <w:noProof/>
              </w:rPr>
              <w:t>§ 1 Abs. 2</w:t>
            </w:r>
            <w:r w:rsidR="002668B2">
              <w:rPr>
                <w:noProof/>
                <w:webHidden/>
              </w:rPr>
              <w:tab/>
            </w:r>
            <w:r w:rsidR="002668B2">
              <w:rPr>
                <w:noProof/>
                <w:webHidden/>
              </w:rPr>
              <w:fldChar w:fldCharType="begin"/>
            </w:r>
            <w:r w:rsidR="002668B2">
              <w:rPr>
                <w:noProof/>
                <w:webHidden/>
              </w:rPr>
              <w:instrText xml:space="preserve"> PAGEREF _Toc435013481 \h </w:instrText>
            </w:r>
            <w:r w:rsidR="002668B2">
              <w:rPr>
                <w:noProof/>
                <w:webHidden/>
              </w:rPr>
            </w:r>
            <w:r w:rsidR="002668B2">
              <w:rPr>
                <w:noProof/>
                <w:webHidden/>
              </w:rPr>
              <w:fldChar w:fldCharType="separate"/>
            </w:r>
            <w:r w:rsidR="002668B2">
              <w:rPr>
                <w:noProof/>
                <w:webHidden/>
              </w:rPr>
              <w:t>38</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82" w:history="1">
            <w:r w:rsidR="002668B2" w:rsidRPr="00AC03AE">
              <w:rPr>
                <w:rStyle w:val="Hyperlink"/>
                <w:noProof/>
              </w:rPr>
              <w:t>§ 2</w:t>
            </w:r>
            <w:r w:rsidR="002668B2">
              <w:rPr>
                <w:noProof/>
                <w:webHidden/>
              </w:rPr>
              <w:tab/>
            </w:r>
            <w:r w:rsidR="002668B2">
              <w:rPr>
                <w:noProof/>
                <w:webHidden/>
              </w:rPr>
              <w:fldChar w:fldCharType="begin"/>
            </w:r>
            <w:r w:rsidR="002668B2">
              <w:rPr>
                <w:noProof/>
                <w:webHidden/>
              </w:rPr>
              <w:instrText xml:space="preserve"> PAGEREF _Toc435013482 \h </w:instrText>
            </w:r>
            <w:r w:rsidR="002668B2">
              <w:rPr>
                <w:noProof/>
                <w:webHidden/>
              </w:rPr>
            </w:r>
            <w:r w:rsidR="002668B2">
              <w:rPr>
                <w:noProof/>
                <w:webHidden/>
              </w:rPr>
              <w:fldChar w:fldCharType="separate"/>
            </w:r>
            <w:r w:rsidR="002668B2">
              <w:rPr>
                <w:noProof/>
                <w:webHidden/>
              </w:rPr>
              <w:t>38</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83" w:history="1">
            <w:r w:rsidR="002668B2" w:rsidRPr="00AC03AE">
              <w:rPr>
                <w:rStyle w:val="Hyperlink"/>
                <w:noProof/>
              </w:rPr>
              <w:t>§ 4 S. 1</w:t>
            </w:r>
            <w:r w:rsidR="002668B2">
              <w:rPr>
                <w:noProof/>
                <w:webHidden/>
              </w:rPr>
              <w:tab/>
            </w:r>
            <w:r w:rsidR="002668B2">
              <w:rPr>
                <w:noProof/>
                <w:webHidden/>
              </w:rPr>
              <w:fldChar w:fldCharType="begin"/>
            </w:r>
            <w:r w:rsidR="002668B2">
              <w:rPr>
                <w:noProof/>
                <w:webHidden/>
              </w:rPr>
              <w:instrText xml:space="preserve"> PAGEREF _Toc435013483 \h </w:instrText>
            </w:r>
            <w:r w:rsidR="002668B2">
              <w:rPr>
                <w:noProof/>
                <w:webHidden/>
              </w:rPr>
            </w:r>
            <w:r w:rsidR="002668B2">
              <w:rPr>
                <w:noProof/>
                <w:webHidden/>
              </w:rPr>
              <w:fldChar w:fldCharType="separate"/>
            </w:r>
            <w:r w:rsidR="002668B2">
              <w:rPr>
                <w:noProof/>
                <w:webHidden/>
              </w:rPr>
              <w:t>38</w:t>
            </w:r>
            <w:r w:rsidR="002668B2">
              <w:rPr>
                <w:noProof/>
                <w:webHidden/>
              </w:rPr>
              <w:fldChar w:fldCharType="end"/>
            </w:r>
          </w:hyperlink>
        </w:p>
        <w:p w:rsidR="002668B2" w:rsidRDefault="000943A7">
          <w:pPr>
            <w:pStyle w:val="Verzeichnis2"/>
            <w:rPr>
              <w:rFonts w:asciiTheme="minorHAnsi" w:eastAsiaTheme="minorEastAsia" w:hAnsiTheme="minorHAnsi"/>
              <w:noProof/>
              <w:sz w:val="22"/>
              <w:lang w:eastAsia="de-DE"/>
            </w:rPr>
          </w:pPr>
          <w:hyperlink w:anchor="_Toc435013484" w:history="1">
            <w:r w:rsidR="002668B2" w:rsidRPr="00AC03AE">
              <w:rPr>
                <w:rStyle w:val="Hyperlink"/>
                <w:noProof/>
              </w:rPr>
              <w:t>§ 5 Abs. 1 und 2</w:t>
            </w:r>
            <w:r w:rsidR="002668B2">
              <w:rPr>
                <w:noProof/>
                <w:webHidden/>
              </w:rPr>
              <w:tab/>
            </w:r>
            <w:r w:rsidR="002668B2">
              <w:rPr>
                <w:noProof/>
                <w:webHidden/>
              </w:rPr>
              <w:fldChar w:fldCharType="begin"/>
            </w:r>
            <w:r w:rsidR="002668B2">
              <w:rPr>
                <w:noProof/>
                <w:webHidden/>
              </w:rPr>
              <w:instrText xml:space="preserve"> PAGEREF _Toc435013484 \h </w:instrText>
            </w:r>
            <w:r w:rsidR="002668B2">
              <w:rPr>
                <w:noProof/>
                <w:webHidden/>
              </w:rPr>
            </w:r>
            <w:r w:rsidR="002668B2">
              <w:rPr>
                <w:noProof/>
                <w:webHidden/>
              </w:rPr>
              <w:fldChar w:fldCharType="separate"/>
            </w:r>
            <w:r w:rsidR="002668B2">
              <w:rPr>
                <w:noProof/>
                <w:webHidden/>
              </w:rPr>
              <w:t>39</w:t>
            </w:r>
            <w:r w:rsidR="002668B2">
              <w:rPr>
                <w:noProof/>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85" w:history="1">
            <w:r w:rsidR="002668B2" w:rsidRPr="00AC03AE">
              <w:rPr>
                <w:rStyle w:val="Hyperlink"/>
              </w:rPr>
              <w:t>Anmerkungen zu Art. 10: Aufhebung der Verordnung zum Behindertenbeirat NRW</w:t>
            </w:r>
            <w:r w:rsidR="002668B2">
              <w:rPr>
                <w:webHidden/>
              </w:rPr>
              <w:tab/>
            </w:r>
            <w:r w:rsidR="002668B2">
              <w:rPr>
                <w:webHidden/>
              </w:rPr>
              <w:fldChar w:fldCharType="begin"/>
            </w:r>
            <w:r w:rsidR="002668B2">
              <w:rPr>
                <w:webHidden/>
              </w:rPr>
              <w:instrText xml:space="preserve"> PAGEREF _Toc435013485 \h </w:instrText>
            </w:r>
            <w:r w:rsidR="002668B2">
              <w:rPr>
                <w:webHidden/>
              </w:rPr>
            </w:r>
            <w:r w:rsidR="002668B2">
              <w:rPr>
                <w:webHidden/>
              </w:rPr>
              <w:fldChar w:fldCharType="separate"/>
            </w:r>
            <w:r w:rsidR="002668B2">
              <w:rPr>
                <w:webHidden/>
              </w:rPr>
              <w:t>39</w:t>
            </w:r>
            <w:r w:rsidR="002668B2">
              <w:rPr>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86" w:history="1">
            <w:r w:rsidR="002668B2" w:rsidRPr="00AC03AE">
              <w:rPr>
                <w:rStyle w:val="Hyperlink"/>
              </w:rPr>
              <w:t>Anmerkungen zu Art. 11: Inkrafttreten</w:t>
            </w:r>
            <w:r w:rsidR="002668B2">
              <w:rPr>
                <w:webHidden/>
              </w:rPr>
              <w:tab/>
            </w:r>
            <w:r w:rsidR="002668B2">
              <w:rPr>
                <w:webHidden/>
              </w:rPr>
              <w:fldChar w:fldCharType="begin"/>
            </w:r>
            <w:r w:rsidR="002668B2">
              <w:rPr>
                <w:webHidden/>
              </w:rPr>
              <w:instrText xml:space="preserve"> PAGEREF _Toc435013486 \h </w:instrText>
            </w:r>
            <w:r w:rsidR="002668B2">
              <w:rPr>
                <w:webHidden/>
              </w:rPr>
            </w:r>
            <w:r w:rsidR="002668B2">
              <w:rPr>
                <w:webHidden/>
              </w:rPr>
              <w:fldChar w:fldCharType="separate"/>
            </w:r>
            <w:r w:rsidR="002668B2">
              <w:rPr>
                <w:webHidden/>
              </w:rPr>
              <w:t>39</w:t>
            </w:r>
            <w:r w:rsidR="002668B2">
              <w:rPr>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87" w:history="1">
            <w:r w:rsidR="002668B2" w:rsidRPr="00AC03AE">
              <w:rPr>
                <w:rStyle w:val="Hyperlink"/>
              </w:rPr>
              <w:t>Akuter Weiterentwicklungsbedarf</w:t>
            </w:r>
            <w:r w:rsidR="002668B2">
              <w:rPr>
                <w:webHidden/>
              </w:rPr>
              <w:tab/>
            </w:r>
            <w:r w:rsidR="002668B2">
              <w:rPr>
                <w:webHidden/>
              </w:rPr>
              <w:fldChar w:fldCharType="begin"/>
            </w:r>
            <w:r w:rsidR="002668B2">
              <w:rPr>
                <w:webHidden/>
              </w:rPr>
              <w:instrText xml:space="preserve"> PAGEREF _Toc435013487 \h </w:instrText>
            </w:r>
            <w:r w:rsidR="002668B2">
              <w:rPr>
                <w:webHidden/>
              </w:rPr>
            </w:r>
            <w:r w:rsidR="002668B2">
              <w:rPr>
                <w:webHidden/>
              </w:rPr>
              <w:fldChar w:fldCharType="separate"/>
            </w:r>
            <w:r w:rsidR="002668B2">
              <w:rPr>
                <w:webHidden/>
              </w:rPr>
              <w:t>39</w:t>
            </w:r>
            <w:r w:rsidR="002668B2">
              <w:rPr>
                <w:webHidden/>
              </w:rPr>
              <w:fldChar w:fldCharType="end"/>
            </w:r>
          </w:hyperlink>
        </w:p>
        <w:p w:rsidR="002668B2" w:rsidRDefault="000943A7">
          <w:pPr>
            <w:pStyle w:val="Verzeichnis1"/>
            <w:rPr>
              <w:rFonts w:asciiTheme="minorHAnsi" w:eastAsiaTheme="minorEastAsia" w:hAnsiTheme="minorHAnsi"/>
              <w:b w:val="0"/>
              <w:sz w:val="22"/>
              <w:lang w:eastAsia="de-DE"/>
            </w:rPr>
          </w:pPr>
          <w:hyperlink w:anchor="_Toc435013488" w:history="1">
            <w:r w:rsidR="002668B2" w:rsidRPr="00AC03AE">
              <w:rPr>
                <w:rStyle w:val="Hyperlink"/>
              </w:rPr>
              <w:t>Zusammenfassung</w:t>
            </w:r>
            <w:r w:rsidR="002668B2">
              <w:rPr>
                <w:webHidden/>
              </w:rPr>
              <w:tab/>
            </w:r>
            <w:r w:rsidR="002668B2">
              <w:rPr>
                <w:webHidden/>
              </w:rPr>
              <w:fldChar w:fldCharType="begin"/>
            </w:r>
            <w:r w:rsidR="002668B2">
              <w:rPr>
                <w:webHidden/>
              </w:rPr>
              <w:instrText xml:space="preserve"> PAGEREF _Toc435013488 \h </w:instrText>
            </w:r>
            <w:r w:rsidR="002668B2">
              <w:rPr>
                <w:webHidden/>
              </w:rPr>
            </w:r>
            <w:r w:rsidR="002668B2">
              <w:rPr>
                <w:webHidden/>
              </w:rPr>
              <w:fldChar w:fldCharType="separate"/>
            </w:r>
            <w:r w:rsidR="002668B2">
              <w:rPr>
                <w:webHidden/>
              </w:rPr>
              <w:t>40</w:t>
            </w:r>
            <w:r w:rsidR="002668B2">
              <w:rPr>
                <w:webHidden/>
              </w:rPr>
              <w:fldChar w:fldCharType="end"/>
            </w:r>
          </w:hyperlink>
        </w:p>
        <w:p w:rsidR="00EB3173" w:rsidRDefault="00EB3173">
          <w:r>
            <w:rPr>
              <w:b/>
              <w:bCs/>
            </w:rPr>
            <w:fldChar w:fldCharType="end"/>
          </w:r>
        </w:p>
      </w:sdtContent>
    </w:sdt>
    <w:p w:rsidR="00B84BB7" w:rsidRDefault="00B84BB7" w:rsidP="00407403"/>
    <w:p w:rsidR="00783632" w:rsidRDefault="00783632">
      <w:pPr>
        <w:rPr>
          <w:rFonts w:eastAsiaTheme="majorEastAsia" w:cstheme="majorBidi"/>
          <w:b/>
          <w:bCs/>
          <w:color w:val="000000" w:themeColor="text1"/>
          <w:sz w:val="28"/>
          <w:szCs w:val="28"/>
        </w:rPr>
      </w:pPr>
      <w:r>
        <w:br w:type="page"/>
      </w:r>
    </w:p>
    <w:p w:rsidR="00B84BB7" w:rsidRDefault="00B84BB7" w:rsidP="00B84BB7">
      <w:pPr>
        <w:pStyle w:val="berschrift1"/>
      </w:pPr>
      <w:bookmarkStart w:id="1" w:name="_Toc435013413"/>
      <w:r>
        <w:lastRenderedPageBreak/>
        <w:t>Einführung</w:t>
      </w:r>
      <w:bookmarkEnd w:id="1"/>
    </w:p>
    <w:p w:rsidR="00001FF0" w:rsidRDefault="00F22DC4" w:rsidP="00356CB8">
      <w:pPr>
        <w:spacing w:before="240" w:after="240" w:line="360" w:lineRule="auto"/>
      </w:pPr>
      <w:r>
        <w:t xml:space="preserve">Das Kompetenzzentrum Selbstbestimmt Leben (KSL) Rheinland ist ein Projekt, welches durch die Landesregierung NRW im Zuge der Umsetzung des Aktionsplans „Eine Gesellschaft für alle – nrw Inklusiv“ gefördert wird. </w:t>
      </w:r>
      <w:r w:rsidR="00001FF0">
        <w:t>Wesentlicher Schwerpunkt des Aktionsplans</w:t>
      </w:r>
      <w:r w:rsidR="008A3448">
        <w:t xml:space="preserve"> und des Pr</w:t>
      </w:r>
      <w:r w:rsidR="008A3448">
        <w:t>o</w:t>
      </w:r>
      <w:r w:rsidR="008A3448">
        <w:t>jekts Kompetenzzentrum Selbstbestimmt Leben</w:t>
      </w:r>
      <w:r w:rsidR="00001FF0">
        <w:t xml:space="preserve"> ist die Umsetzung der UN-Behindertenrechtskonvention (UN-BRK) auf Landesebene.</w:t>
      </w:r>
    </w:p>
    <w:p w:rsidR="00356CB8" w:rsidRDefault="00F22DC4" w:rsidP="00356CB8">
      <w:pPr>
        <w:spacing w:before="240" w:after="240" w:line="360" w:lineRule="auto"/>
      </w:pPr>
      <w:r>
        <w:t>Das KSL Rheinland dient als Anlaufstelle für behinderte Menschen</w:t>
      </w:r>
      <w:r w:rsidR="00356CB8">
        <w:t xml:space="preserve"> und </w:t>
      </w:r>
      <w:r>
        <w:t>unterstützt selbstb</w:t>
      </w:r>
      <w:r>
        <w:t>e</w:t>
      </w:r>
      <w:r>
        <w:t>stimmte Lebensformen</w:t>
      </w:r>
      <w:r w:rsidR="00356CB8">
        <w:t>. Im Rahmen der Öffentlichkeitsarbeit setzt sich das KSL Rheinland für einen Bewusstseinswandel und eine veränderte Sichtweise auf die Belange von Menschen mit Behinderung ein. Die Interessenvertretung bildet den dritten Tätigkeitsschwerpunkt des KSL Rheinland.</w:t>
      </w:r>
    </w:p>
    <w:p w:rsidR="004E678A" w:rsidRPr="0003198E" w:rsidRDefault="004E678A" w:rsidP="00260AD8">
      <w:pPr>
        <w:spacing w:line="360" w:lineRule="auto"/>
      </w:pPr>
      <w:r w:rsidRPr="0003198E">
        <w:t>BODYS ist eine Forschungseinrichtung</w:t>
      </w:r>
      <w:r w:rsidR="00D80196">
        <w:t xml:space="preserve"> der Evangelischen Fachhochschule RWL in Bochum</w:t>
      </w:r>
      <w:r w:rsidRPr="0003198E">
        <w:t>, die Disability Studies als inter-, multi- und transdisziplinäre theoretische Grundlage für die UN-Behindertenrechtskonvention (UN</w:t>
      </w:r>
      <w:r w:rsidR="00260AD8">
        <w:t>-</w:t>
      </w:r>
      <w:r w:rsidRPr="0003198E">
        <w:t>BRK) versteht. Ihre Implikationen für Theorie und Praxis, für die Behindertenhilfe und für die Gesellschaft insgesamt sind zentraler Fo</w:t>
      </w:r>
      <w:r w:rsidRPr="0003198E">
        <w:t>r</w:t>
      </w:r>
      <w:r w:rsidRPr="0003198E">
        <w:t>schungsgegenstand. Ganz im Sinne von Artikel 4.3 UN</w:t>
      </w:r>
      <w:r w:rsidR="00260AD8">
        <w:t>-</w:t>
      </w:r>
      <w:r w:rsidRPr="0003198E">
        <w:t>BRK gehört damit die Einbindung von Menschen mit Behinderungen und ihren Organisationen in seine Tätigkeiten zum Selbstve</w:t>
      </w:r>
      <w:r w:rsidRPr="0003198E">
        <w:t>r</w:t>
      </w:r>
      <w:r w:rsidRPr="0003198E">
        <w:t>ständnis  von BODYS.  Das Institut bietet den Rahmen für menschenrechtsorientierte, part</w:t>
      </w:r>
      <w:r w:rsidRPr="0003198E">
        <w:t>i</w:t>
      </w:r>
      <w:r w:rsidRPr="0003198E">
        <w:t>zipative und intersektionale Forschung und Lehre zur Umsetzung der UN</w:t>
      </w:r>
      <w:r w:rsidR="00D80196">
        <w:t>-</w:t>
      </w:r>
      <w:r w:rsidRPr="0003198E">
        <w:t>BRK</w:t>
      </w:r>
      <w:r w:rsidR="00D80196">
        <w:t xml:space="preserve">. </w:t>
      </w:r>
      <w:r w:rsidRPr="0003198E">
        <w:t>Auf dieser Basis will das Institut die regionale Vernetzung von Disability-Studies-Forscher_innen, Ei</w:t>
      </w:r>
      <w:r w:rsidRPr="0003198E">
        <w:t>n</w:t>
      </w:r>
      <w:r w:rsidRPr="0003198E">
        <w:t>richtungen der Behindertenhilfe und der Behindertenselbstorganisation vorantreiben.</w:t>
      </w:r>
    </w:p>
    <w:p w:rsidR="00356CB8" w:rsidRDefault="00356CB8" w:rsidP="00356CB8">
      <w:pPr>
        <w:pStyle w:val="berschrift1"/>
      </w:pPr>
      <w:bookmarkStart w:id="2" w:name="_Toc435013414"/>
      <w:r>
        <w:t>Grundlage der Stellungnahme</w:t>
      </w:r>
      <w:bookmarkEnd w:id="2"/>
    </w:p>
    <w:p w:rsidR="00260AD8" w:rsidRDefault="00836418" w:rsidP="00260AD8">
      <w:pPr>
        <w:spacing w:before="240" w:after="240" w:line="360" w:lineRule="auto"/>
      </w:pPr>
      <w:r>
        <w:t xml:space="preserve">Die nachfolgende Stellungnahme </w:t>
      </w:r>
      <w:r w:rsidR="00D80196">
        <w:t xml:space="preserve">nimmt Bezug </w:t>
      </w:r>
      <w:r>
        <w:t>auf den Gesetzentwurf der Landesregierung Nordrhein-Westfalen, welcher in der Drucksache des Landtags 16/9761 vom 16. September 2015 veröffentlicht wurde</w:t>
      </w:r>
      <w:r w:rsidR="00D80196">
        <w:t>, inklusive seiner Begründung</w:t>
      </w:r>
      <w:r>
        <w:t xml:space="preserve">. </w:t>
      </w:r>
    </w:p>
    <w:p w:rsidR="00883EE9" w:rsidRDefault="00883EE9" w:rsidP="008A60B3">
      <w:pPr>
        <w:pStyle w:val="berschrift1"/>
      </w:pPr>
      <w:bookmarkStart w:id="3" w:name="_Toc435013415"/>
      <w:r>
        <w:lastRenderedPageBreak/>
        <w:t>Allgemeine Anmerkungen zum Gesetzentwurf</w:t>
      </w:r>
      <w:bookmarkEnd w:id="3"/>
    </w:p>
    <w:p w:rsidR="002D4276" w:rsidRDefault="002D4276" w:rsidP="00883EE9">
      <w:pPr>
        <w:pStyle w:val="berschrift2"/>
      </w:pPr>
      <w:bookmarkStart w:id="4" w:name="_Toc435013416"/>
      <w:r w:rsidRPr="00D50C06">
        <w:t>Anmerkungen zur finanziellen Dimension des Gesetzentwurfs</w:t>
      </w:r>
      <w:bookmarkEnd w:id="4"/>
    </w:p>
    <w:p w:rsidR="008C0C17" w:rsidRDefault="00374117" w:rsidP="00356CB8">
      <w:pPr>
        <w:spacing w:before="240" w:after="240" w:line="360" w:lineRule="auto"/>
      </w:pPr>
      <w:r>
        <w:t>Auch die überarbeitete Fassung des Gesetzentwurfs leidet erheblich unter einer doppelten Kostenbremse.</w:t>
      </w:r>
    </w:p>
    <w:p w:rsidR="00374117" w:rsidRDefault="00D50C06" w:rsidP="00356CB8">
      <w:pPr>
        <w:spacing w:before="240" w:after="240" w:line="360" w:lineRule="auto"/>
      </w:pPr>
      <w:r>
        <w:t>Einerseits sind auch für diesen Gesetzentwurf die gegenwärtigen finanziellen Rahmenbedi</w:t>
      </w:r>
      <w:r>
        <w:t>n</w:t>
      </w:r>
      <w:r>
        <w:t xml:space="preserve">gungen sowohl auf Landes- als auch auf kommunaler Ebene maßgeblich. </w:t>
      </w:r>
      <w:r w:rsidR="00374117">
        <w:t>Die finanzielle Lage der öffentlichen Haushalte in Nordrhein-Westfalen ist insgesamt nicht zuletzt durch die sich aus den aktuellen politischen Entwicklungen ergebenden finanziellen Unsicherheiten sehr angespannt.</w:t>
      </w:r>
      <w:r w:rsidR="00D80196">
        <w:t xml:space="preserve"> Inklusion als Menschenrecht ist jedoch nicht zum Nulltarif zu haben. </w:t>
      </w:r>
    </w:p>
    <w:p w:rsidR="00D50C06" w:rsidRDefault="00D50C06" w:rsidP="00356CB8">
      <w:pPr>
        <w:spacing w:before="240" w:after="240" w:line="360" w:lineRule="auto"/>
      </w:pPr>
      <w:r>
        <w:t>Die zweite finanzielle Einschränkung ergibt sich aus dem unbedingten Ziel der Vermeidung einer Kollision mit dem Konnexitätsprinzip. Hier werden Modellrechnungen angestellt, die – und dies wird durch das federführende Ministerium auch eingeräumt – auf keiner validen Datenbasis beruhen.</w:t>
      </w:r>
      <w:r w:rsidR="00374117">
        <w:rPr>
          <w:rStyle w:val="Funotenzeichen"/>
        </w:rPr>
        <w:footnoteReference w:id="1"/>
      </w:r>
      <w:r>
        <w:t xml:space="preserve"> Es wird dargelegt, wie sich vermutlich die Kosten durch die Ina</w:t>
      </w:r>
      <w:r>
        <w:t>n</w:t>
      </w:r>
      <w:r>
        <w:t>spruchnahme von Kommunikationshilfen im Rahmen der elterlichen Sorge entwickeln we</w:t>
      </w:r>
      <w:r>
        <w:t>r</w:t>
      </w:r>
      <w:r>
        <w:t>den. Dabei wird nur auf vorhandenes Zahlenmaterial zurückgegriffen, ohne sich beispiel</w:t>
      </w:r>
      <w:r>
        <w:t>s</w:t>
      </w:r>
      <w:r>
        <w:t xml:space="preserve">weise mit der Frage </w:t>
      </w:r>
      <w:r w:rsidR="00543FE6">
        <w:t>auseinanderzusetzen</w:t>
      </w:r>
      <w:r>
        <w:t>, ob hierbei eine eher restriktive oder großzügige Bewilligungspraxis an den Tag gelegt wird.</w:t>
      </w:r>
      <w:r w:rsidR="008149F2">
        <w:t xml:space="preserve"> Nur bei einer umfassenden Analyse der Ina</w:t>
      </w:r>
      <w:r w:rsidR="008149F2">
        <w:t>n</w:t>
      </w:r>
      <w:r w:rsidR="008149F2">
        <w:t>spruchnahme derartiger Kommunikationshilfen einschließlich der Bewilligungspolitik können halbwegs belastbare Annahmen für eine Kostenentwicklung durch das vorliegende Gesetz aufgestellt werden.</w:t>
      </w:r>
    </w:p>
    <w:p w:rsidR="008149F2" w:rsidRDefault="00D50C06" w:rsidP="00356CB8">
      <w:pPr>
        <w:spacing w:before="240" w:after="240" w:line="360" w:lineRule="auto"/>
      </w:pPr>
      <w:r>
        <w:t>Vor diesem Hintergrund wiegt der Umstand besonders schwer und ist scharf zu kritisieren, dass im Entwurfstext unter der Überschrift „D. Kosten“ ausdrücklich darauf hingewiesen wird, dass den angesprochenen Trägern öffentlicher Belange ein weiter</w:t>
      </w:r>
      <w:r w:rsidR="000D43DA">
        <w:t xml:space="preserve"> Ermessensspielraum</w:t>
      </w:r>
      <w:r w:rsidR="008149F2">
        <w:t xml:space="preserve"> bezüglich </w:t>
      </w:r>
      <w:r w:rsidR="000D43DA">
        <w:t>der Umsetzung der gesetzlichen Vorgaben eingeräumt wird. Diese</w:t>
      </w:r>
      <w:r w:rsidR="00DB5541">
        <w:t>r</w:t>
      </w:r>
      <w:r w:rsidR="000D43DA">
        <w:t xml:space="preserve"> Ermessen</w:t>
      </w:r>
      <w:r w:rsidR="000D43DA">
        <w:t>s</w:t>
      </w:r>
      <w:r w:rsidR="000D43DA">
        <w:t>spielraum findet seinen Widerhall in den äußerst unscharfen Vorgaben, die sich in bloßen Sollvorgaben oder schwachen Verpflichtungen (z.</w:t>
      </w:r>
      <w:r w:rsidR="00260AD8">
        <w:t xml:space="preserve"> </w:t>
      </w:r>
      <w:r w:rsidR="000D43DA">
        <w:t>B. Hinwirken) äußern.</w:t>
      </w:r>
      <w:r w:rsidR="00DB5541">
        <w:t xml:space="preserve"> Eine bewusst </w:t>
      </w:r>
      <w:r w:rsidR="00DB5541">
        <w:lastRenderedPageBreak/>
        <w:t>schwache Ausprägung von Verpflichtungen ohne Verbindlichkeit, Fristsetzung oder drohe</w:t>
      </w:r>
      <w:r w:rsidR="00DB5541">
        <w:t>n</w:t>
      </w:r>
      <w:r w:rsidR="00DB5541">
        <w:t xml:space="preserve">den Sanktionen wird als Instrument der Kostensteuerung missbraucht. </w:t>
      </w:r>
    </w:p>
    <w:p w:rsidR="00CE4C24" w:rsidRDefault="00CE4C24" w:rsidP="00883EE9">
      <w:pPr>
        <w:pStyle w:val="berschrift2"/>
      </w:pPr>
      <w:bookmarkStart w:id="5" w:name="_Toc435013417"/>
      <w:r w:rsidRPr="00DB5541">
        <w:t>Fehlen vo</w:t>
      </w:r>
      <w:r w:rsidR="00422DB8">
        <w:t xml:space="preserve">n Verbindlichkeit, Fristsetzung, </w:t>
      </w:r>
      <w:r w:rsidRPr="00DB5541">
        <w:t>Sanktion</w:t>
      </w:r>
      <w:r w:rsidR="00883EE9" w:rsidRPr="00DB5541">
        <w:t>en</w:t>
      </w:r>
      <w:r w:rsidR="00422DB8">
        <w:t xml:space="preserve"> und Rechtsansprüchen von Menschen mit Behinderungen</w:t>
      </w:r>
      <w:bookmarkEnd w:id="5"/>
    </w:p>
    <w:p w:rsidR="00CE4C24" w:rsidRDefault="00471032" w:rsidP="00356CB8">
      <w:pPr>
        <w:spacing w:before="240" w:after="240" w:line="360" w:lineRule="auto"/>
      </w:pPr>
      <w:r>
        <w:t xml:space="preserve">Weiterhin </w:t>
      </w:r>
      <w:r w:rsidR="00CE4C24">
        <w:t>ist zu kritisieren, dass der Gesetzentwurf weitestgehend auf verbindliche Reg</w:t>
      </w:r>
      <w:r w:rsidR="00CE4C24">
        <w:t>e</w:t>
      </w:r>
      <w:r w:rsidR="00CE4C24">
        <w:t>lungen und Verpflichtungen der Träger öffentlicher Belange verzichtet. Hinzu kommt, dass die wenigen konkreten Verpflichtungen, die in den Gesetzentwurf zu finden sind, mit keine</w:t>
      </w:r>
      <w:r w:rsidR="00CE4C24">
        <w:t>r</w:t>
      </w:r>
      <w:r w:rsidR="00CE4C24">
        <w:t>lei Fristsetzung für deren Umsetzung verbunden sind.</w:t>
      </w:r>
      <w:r w:rsidR="00422DB8">
        <w:t xml:space="preserve"> Weiterhin </w:t>
      </w:r>
      <w:r w:rsidR="00CE4C24">
        <w:t>sieht der Gesetzentwurf keine Sanktionen für den Fall vor, dass ein Träger öffentlicher Belange den Verpflichtungen aus diesem Gesetz zuwiderhandelt oder ihnen zumindest nicht gerecht wird.</w:t>
      </w:r>
      <w:r w:rsidR="00422DB8">
        <w:t xml:space="preserve"> Schließlich ist zu kritisieren, dass den unscharfen Handlungsvorgaben und Verpflichtungen auf Seiten der Träger öffentlicher Belange keine korrespondierenden Rechtsansprüche von Menschen mit Behinderungen gegenüberstehen. </w:t>
      </w:r>
      <w:r w:rsidR="00260AD8">
        <w:t xml:space="preserve"> Die Umsetzung der UN-</w:t>
      </w:r>
      <w:r w:rsidR="00D80196">
        <w:t>BRK erfordert gesetzliche Ma</w:t>
      </w:r>
      <w:r w:rsidR="00D80196">
        <w:t>ß</w:t>
      </w:r>
      <w:r w:rsidR="00D80196">
        <w:t>nahmen, die behinderten Menschen subjektive Rechte garantieren, denn es geht um die Umsetzung von Menschenrechten</w:t>
      </w:r>
      <w:r w:rsidR="00CE4C24">
        <w:t>. Viele behinderte Menschen sind aufgrund des Verzichts auf diese drei Komponenten von diesem Gesetzentwurf enttäuscht und erwarten hiervon keine signifikante Verbesserung für ihre Teilhabe an der Gesellschaft bzw. für die Stärkung des Gedankens einer Sozialen Inklusion insgesamt.</w:t>
      </w:r>
    </w:p>
    <w:p w:rsidR="00CE4C24" w:rsidRDefault="00CE4C24" w:rsidP="00356CB8">
      <w:pPr>
        <w:spacing w:before="240" w:after="240" w:line="360" w:lineRule="auto"/>
      </w:pPr>
      <w:r>
        <w:t>Die einzelnen Vorschriften des Gesetzentwurfs beschränken sich auf sehr unscharfe Ve</w:t>
      </w:r>
      <w:r>
        <w:t>r</w:t>
      </w:r>
      <w:r>
        <w:t>pflichtungen, die durch Begrifflichkeiten wie „Hinwirken“ oder bloße Sollvorschriften</w:t>
      </w:r>
      <w:r w:rsidR="004105B8">
        <w:t xml:space="preserve"> u</w:t>
      </w:r>
      <w:r w:rsidR="004105B8">
        <w:t>m</w:t>
      </w:r>
      <w:r w:rsidR="004105B8">
        <w:t>schrieben werden</w:t>
      </w:r>
      <w:r>
        <w:t>.</w:t>
      </w:r>
      <w:r w:rsidR="004105B8">
        <w:t xml:space="preserve"> Diese sind dann wiederum auf ebenfalls sehr unscharfe und nicht greifb</w:t>
      </w:r>
      <w:r w:rsidR="004105B8">
        <w:t>a</w:t>
      </w:r>
      <w:r w:rsidR="004105B8">
        <w:t xml:space="preserve">re Handlungsvorgaben wie „Unterstützen“ </w:t>
      </w:r>
      <w:r w:rsidR="008149F2">
        <w:t>gerichtet, was eine zusätzliche Abschwächung der unverbindlichen Handlungsvorgabe bedeutet.</w:t>
      </w:r>
    </w:p>
    <w:p w:rsidR="00877A49" w:rsidRDefault="00952F20" w:rsidP="00070714">
      <w:pPr>
        <w:spacing w:before="240" w:after="240" w:line="360" w:lineRule="auto"/>
      </w:pPr>
      <w:r>
        <w:t>Zu begrüßen ist die legislative Anerkennung</w:t>
      </w:r>
      <w:r w:rsidR="001261D6">
        <w:t xml:space="preserve"> eine</w:t>
      </w:r>
      <w:r>
        <w:t>r</w:t>
      </w:r>
      <w:r w:rsidR="001261D6">
        <w:t xml:space="preserve"> inklusive</w:t>
      </w:r>
      <w:r>
        <w:t>n</w:t>
      </w:r>
      <w:r w:rsidR="001261D6">
        <w:t xml:space="preserve"> Gesellschaft als </w:t>
      </w:r>
      <w:r>
        <w:t>Voraussetzung</w:t>
      </w:r>
      <w:r w:rsidR="001261D6">
        <w:t xml:space="preserve"> </w:t>
      </w:r>
      <w:r>
        <w:t>für den</w:t>
      </w:r>
      <w:r w:rsidR="001261D6">
        <w:t xml:space="preserve"> vollen, gleichberechtigten und wirksamen Genuss der Menschenrechte für Me</w:t>
      </w:r>
      <w:r w:rsidR="001261D6">
        <w:t>n</w:t>
      </w:r>
      <w:r w:rsidR="001261D6">
        <w:t>schen mit Behinderung. Positiv hervorzuheben ist auch, dass die Forderung nach einer so</w:t>
      </w:r>
      <w:r w:rsidR="001261D6">
        <w:t>l</w:t>
      </w:r>
      <w:r w:rsidR="001261D6">
        <w:t>chen vollen und wirksamen Teilhabe gleichberechtigt mit anderen anerkannt wird.</w:t>
      </w:r>
      <w:r w:rsidR="001261D6">
        <w:rPr>
          <w:rStyle w:val="Funotenzeichen"/>
        </w:rPr>
        <w:footnoteReference w:id="2"/>
      </w:r>
      <w:r w:rsidR="001261D6">
        <w:t xml:space="preserve"> </w:t>
      </w:r>
      <w:r>
        <w:t xml:space="preserve"> Um di</w:t>
      </w:r>
      <w:r>
        <w:t>e</w:t>
      </w:r>
      <w:r>
        <w:lastRenderedPageBreak/>
        <w:t>se legislativen Zielvorgaben zu erreichen, braucht es jedoch verbindliche Zeitvorgaben, ei</w:t>
      </w:r>
      <w:r>
        <w:t>n</w:t>
      </w:r>
      <w:r>
        <w:t>klagbare subjektive Inklusionsrechte für behinderte Menschen und Sanktionen.</w:t>
      </w:r>
      <w:r w:rsidR="00260AD8">
        <w:t xml:space="preserve"> </w:t>
      </w:r>
      <w:r>
        <w:t>Eine en</w:t>
      </w:r>
      <w:r>
        <w:t>t</w:t>
      </w:r>
      <w:r>
        <w:t>sprechende</w:t>
      </w:r>
      <w:r w:rsidR="008149F2">
        <w:t xml:space="preserve"> Überarbeitung des Gesetzentwurfs </w:t>
      </w:r>
      <w:r>
        <w:t>wird daher dringend empfohlen.</w:t>
      </w:r>
    </w:p>
    <w:p w:rsidR="002101ED" w:rsidRDefault="002101ED" w:rsidP="002101ED">
      <w:pPr>
        <w:pStyle w:val="berschrift2"/>
      </w:pPr>
      <w:bookmarkStart w:id="6" w:name="_Toc435013418"/>
      <w:r>
        <w:t>Unzureichende Förderung der Verwendung von leichter Sprache</w:t>
      </w:r>
      <w:bookmarkEnd w:id="6"/>
    </w:p>
    <w:p w:rsidR="002101ED" w:rsidRDefault="00127C72" w:rsidP="00070714">
      <w:pPr>
        <w:spacing w:before="240" w:after="240" w:line="360" w:lineRule="auto"/>
      </w:pPr>
      <w:r>
        <w:t>Begrüßt wird die</w:t>
      </w:r>
      <w:r w:rsidR="002101ED">
        <w:t xml:space="preserve"> erkennbare Bereitschaft des Landesgesetzgebers, das Instrument der leic</w:t>
      </w:r>
      <w:r w:rsidR="002101ED">
        <w:t>h</w:t>
      </w:r>
      <w:r w:rsidR="002101ED">
        <w:t>ten Sprache, welches für Menschen mit geistiger oder kognitiver Beeinträchtigung häufig Voraussetzung für Kommunikation mit Trägern öffentlicher Belange ist, erstmalig als geset</w:t>
      </w:r>
      <w:r w:rsidR="002101ED">
        <w:t>z</w:t>
      </w:r>
      <w:r w:rsidR="002101ED">
        <w:t>lich vorgesehene Kommunikationsform anzusehen und in seiner Verbreitung zu fördern.</w:t>
      </w:r>
    </w:p>
    <w:p w:rsidR="002101ED" w:rsidRDefault="002101ED" w:rsidP="00070714">
      <w:pPr>
        <w:spacing w:before="240" w:after="240" w:line="360" w:lineRule="auto"/>
      </w:pPr>
      <w:r>
        <w:t>Allerdings ist der Landesgesetzgeber hierbei inkonsequent. Es ist sachlich nicht</w:t>
      </w:r>
      <w:r w:rsidR="00127C72">
        <w:t xml:space="preserve"> nachvollzie</w:t>
      </w:r>
      <w:r w:rsidR="00127C72">
        <w:t>h</w:t>
      </w:r>
      <w:r w:rsidR="00127C72">
        <w:t>bar, dass</w:t>
      </w:r>
      <w:r>
        <w:t xml:space="preserve"> </w:t>
      </w:r>
      <w:r w:rsidR="00127C72">
        <w:t>Kommunikationshilfe</w:t>
      </w:r>
      <w:r>
        <w:t xml:space="preserve"> für Menschen mit Hörbehinderung verbindlich </w:t>
      </w:r>
      <w:r w:rsidR="00127C72">
        <w:t>geregelt wird</w:t>
      </w:r>
      <w:r>
        <w:t xml:space="preserve">, die Bestimmungen zur Verwendung </w:t>
      </w:r>
      <w:r w:rsidR="00127C72">
        <w:t xml:space="preserve">und </w:t>
      </w:r>
      <w:r>
        <w:t xml:space="preserve">Verbreitung von leichter Sprache </w:t>
      </w:r>
      <w:r w:rsidR="00127C72">
        <w:t xml:space="preserve">jedoch </w:t>
      </w:r>
      <w:r>
        <w:t>deutlich unverbindlicher und unschärfer sind. Teilweise wird in einzelnen Bereichen leichte Sprache überhaupt nicht erwähnt, teilweise steht deren Verwendung unter ausdrücklichem Ressou</w:t>
      </w:r>
      <w:r>
        <w:t>r</w:t>
      </w:r>
      <w:r>
        <w:t>cenvorbehalt der jeweiligen Träger öffentlicher Belange. Diese Unterscheidung ist als diskr</w:t>
      </w:r>
      <w:r>
        <w:t>i</w:t>
      </w:r>
      <w:r>
        <w:t>minierend und somit rechtswidrig anzusehen.</w:t>
      </w:r>
    </w:p>
    <w:p w:rsidR="002101ED" w:rsidRDefault="002101ED" w:rsidP="00070714">
      <w:pPr>
        <w:spacing w:before="240" w:after="240" w:line="360" w:lineRule="auto"/>
      </w:pPr>
      <w:r>
        <w:t>Die Verwendung von leichter Sprache gehört zu den dringenden Aufgaben</w:t>
      </w:r>
      <w:r w:rsidR="00127C72">
        <w:t xml:space="preserve"> im Rahmen der Umsetzung der UN BRK und wird auch für viele Flüchtlinge, die nach Deutschland kommen eine Integrationshilfe darstellen. Sie muss nicht nur verbindlich eingeführt werden, es muss auch  sicher gestellt werden, dass sie von Menschen mit kognitiven Beeinträchtigungen selbst qualitativ kontrolliert wird.</w:t>
      </w:r>
      <w:r>
        <w:t xml:space="preserve">. Mindestens die Abnahme von Texten in leichter Sprache ist </w:t>
      </w:r>
      <w:r w:rsidR="00127C72">
        <w:t xml:space="preserve">daher </w:t>
      </w:r>
      <w:r>
        <w:t xml:space="preserve">von Menschen mit </w:t>
      </w:r>
      <w:r w:rsidR="00127C72">
        <w:t xml:space="preserve">Lernschwierigkeiten selbst </w:t>
      </w:r>
      <w:r>
        <w:t>durchzuführen. Diese Tätigkeiten müssen professionalisiert und somit konsequenterweise auch vergütet werden. Dieses neue Betätigungsfeld auf dem allgemeinen Arbeitsmarkt schafft eine bedeutsame</w:t>
      </w:r>
      <w:r w:rsidR="00F33978">
        <w:t xml:space="preserve"> berufliche</w:t>
      </w:r>
      <w:r>
        <w:t xml:space="preserve"> Pe</w:t>
      </w:r>
      <w:r>
        <w:t>r</w:t>
      </w:r>
      <w:r>
        <w:t>spektive für diese Personengruppe, für die ansonsten in aller Regel nur eine</w:t>
      </w:r>
      <w:r w:rsidR="00F33978">
        <w:t xml:space="preserve"> </w:t>
      </w:r>
      <w:r w:rsidR="006A05F3">
        <w:t>Beschäftigung</w:t>
      </w:r>
      <w:r w:rsidR="00F33978">
        <w:t xml:space="preserve"> in einer Werkstatt für Menschen mit Behinderung verbleibt. Die Zubilligung dieser Expertenro</w:t>
      </w:r>
      <w:r w:rsidR="00F33978">
        <w:t>l</w:t>
      </w:r>
      <w:r w:rsidR="00F33978">
        <w:t>le bedeutet für Menschen mit geistigen oder kognitiven Einschränkungen zudem eine deutl</w:t>
      </w:r>
      <w:r w:rsidR="00F33978">
        <w:t>i</w:t>
      </w:r>
      <w:r w:rsidR="00F33978">
        <w:t>che gesellschaftliche Aufwertung und Wertschätzung und ist als Teil einer Bewusstsein</w:t>
      </w:r>
      <w:r w:rsidR="00F33978">
        <w:t>s</w:t>
      </w:r>
      <w:r w:rsidR="00F33978">
        <w:t>wandlung im Sinne von Art. 8 UN-BRK zu bewerten.</w:t>
      </w:r>
      <w:r w:rsidR="00127C72">
        <w:t xml:space="preserve"> Eine Verankerung eines entsprechenden </w:t>
      </w:r>
      <w:r w:rsidR="00127C72">
        <w:lastRenderedPageBreak/>
        <w:t>Qualitätsstandards im NRW Inklusionsstärkungsgesetz würde bundesweit eine positive Si</w:t>
      </w:r>
      <w:r w:rsidR="00127C72">
        <w:t>g</w:t>
      </w:r>
      <w:r w:rsidR="00127C72">
        <w:t>nalwirkung im Sinne der UN BRK bewirken.</w:t>
      </w:r>
    </w:p>
    <w:p w:rsidR="00D16873" w:rsidRDefault="004105B8" w:rsidP="004105B8">
      <w:pPr>
        <w:pStyle w:val="berschrift1"/>
      </w:pPr>
      <w:bookmarkStart w:id="7" w:name="_Toc435013419"/>
      <w:r>
        <w:t>Anmerkungen zu Art. 1: Erstes allgemeines Gesetz zur Stärkung der Sozialen Inklusion in Nordrhein-Westfalen</w:t>
      </w:r>
      <w:bookmarkEnd w:id="7"/>
    </w:p>
    <w:p w:rsidR="004105B8" w:rsidRPr="004105B8" w:rsidRDefault="00D45AF6" w:rsidP="00D45AF6">
      <w:pPr>
        <w:pStyle w:val="berschrift2"/>
        <w:spacing w:after="240"/>
      </w:pPr>
      <w:bookmarkStart w:id="8" w:name="_Toc435013420"/>
      <w:r>
        <w:t>§ 1 (Ziele)</w:t>
      </w:r>
      <w:bookmarkEnd w:id="8"/>
    </w:p>
    <w:p w:rsidR="00AD5BE8" w:rsidRDefault="00471032" w:rsidP="00D45AF6">
      <w:pPr>
        <w:spacing w:before="240" w:after="240" w:line="360" w:lineRule="auto"/>
      </w:pPr>
      <w:r>
        <w:t xml:space="preserve">Grundsätzlich </w:t>
      </w:r>
      <w:r w:rsidR="00594F8D">
        <w:t xml:space="preserve">ist </w:t>
      </w:r>
      <w:r w:rsidR="00D45AF6">
        <w:t>zum Auftakt dieses Gesetzes eine Definition von Inklusion dringend geb</w:t>
      </w:r>
      <w:r w:rsidR="00D45AF6">
        <w:t>o</w:t>
      </w:r>
      <w:r w:rsidR="00D45AF6">
        <w:t>ten. Der Begriff der Inklusion und das damit verbundene Modell einer Gesellschaft, in der</w:t>
      </w:r>
      <w:r w:rsidR="0091424B">
        <w:t xml:space="preserve"> Menschen mit und ohne Behinderung gleichberechtigt und mit gleichen Entfaltungsmöglic</w:t>
      </w:r>
      <w:r w:rsidR="0091424B">
        <w:t>h</w:t>
      </w:r>
      <w:r w:rsidR="0091424B">
        <w:t>keiten miteinander leben</w:t>
      </w:r>
      <w:r w:rsidR="008149F2">
        <w:t xml:space="preserve">, </w:t>
      </w:r>
      <w:r w:rsidR="00594F8D">
        <w:t xml:space="preserve">sollte </w:t>
      </w:r>
      <w:r w:rsidR="008149F2">
        <w:t>im Gesetz definiert werden</w:t>
      </w:r>
      <w:r w:rsidR="0091424B">
        <w:t xml:space="preserve">. </w:t>
      </w:r>
      <w:r w:rsidR="00AD5BE8">
        <w:t>Die Deutungshoheit für derart</w:t>
      </w:r>
      <w:r w:rsidR="00AD5BE8">
        <w:t>i</w:t>
      </w:r>
      <w:r w:rsidR="00AD5BE8">
        <w:t>ge zentrale Begrifflichkeiten müssen beim Land NRW verbleiben. Es muss deutlich werden, was das Land NRW konkret unter dem Begriff der Inklusion und unter inklusiven Lebensve</w:t>
      </w:r>
      <w:r w:rsidR="00AD5BE8">
        <w:t>r</w:t>
      </w:r>
      <w:r w:rsidR="00AD5BE8">
        <w:t xml:space="preserve">hältnissen versteht. </w:t>
      </w:r>
      <w:r w:rsidR="00594F8D">
        <w:t xml:space="preserve"> Bereits jetzt zeichnet sich eine Bedeutungsvielfalt ab, die mit dem Zweck der UN BRK nicht vereinbar ist. Sondereinrichtungen für behinderte Menschen, die segregierend wirken, geben sich selbst das Inklusionssiegel.  </w:t>
      </w:r>
      <w:r w:rsidR="00C52450">
        <w:t xml:space="preserve">Inklusion in Nordrhein-Westfalen kann </w:t>
      </w:r>
      <w:r w:rsidR="00594F8D">
        <w:t xml:space="preserve">jedoch nur </w:t>
      </w:r>
      <w:r w:rsidR="00C52450">
        <w:t xml:space="preserve">dann wirksam geschützt und gefördert werden, wenn der Begriff der Inklusion einheitliche und verbindliche </w:t>
      </w:r>
      <w:r w:rsidR="00594F8D">
        <w:t>im Sinne der UN BRK definiert</w:t>
      </w:r>
      <w:r w:rsidR="00C52450">
        <w:t xml:space="preserve"> wird.</w:t>
      </w:r>
    </w:p>
    <w:p w:rsidR="005379FF" w:rsidRDefault="005379FF" w:rsidP="00D45AF6">
      <w:pPr>
        <w:spacing w:before="240" w:after="240" w:line="360" w:lineRule="auto"/>
      </w:pPr>
      <w:r>
        <w:t>Die Begründung zu § 1 enthält eine durchaus überzeugende Beschreibung von Inklusion</w:t>
      </w:r>
      <w:r w:rsidR="00371A67">
        <w:t xml:space="preserve"> aus Sicht </w:t>
      </w:r>
      <w:r>
        <w:t>der Landesregierung</w:t>
      </w:r>
      <w:r w:rsidR="00C52450">
        <w:rPr>
          <w:rStyle w:val="Funotenzeichen"/>
        </w:rPr>
        <w:footnoteReference w:id="3"/>
      </w:r>
      <w:r>
        <w:t xml:space="preserve"> </w:t>
      </w:r>
      <w:r w:rsidR="00594F8D">
        <w:t>die in eine legislative Definition eingearbeitet werden könnte.</w:t>
      </w:r>
    </w:p>
    <w:p w:rsidR="00C52450" w:rsidRDefault="00C52450" w:rsidP="00D45AF6">
      <w:pPr>
        <w:spacing w:before="240" w:after="240" w:line="360" w:lineRule="auto"/>
      </w:pPr>
      <w:r>
        <w:t>Insgesamt erscheint die Zielsetzung dieses Gesetzes sehr ambitioniert. Leider wird diese Zie</w:t>
      </w:r>
      <w:r>
        <w:t>l</w:t>
      </w:r>
      <w:r>
        <w:t>setzung durch die bewusste Einräumung eines breiten Ermessensspielraums hinsichtlich der Priorisierung und der Umsetzung für die angesprochenen Träger öffentlicher Belange unn</w:t>
      </w:r>
      <w:r>
        <w:t>ö</w:t>
      </w:r>
      <w:r>
        <w:t>tig gefährdet.</w:t>
      </w:r>
    </w:p>
    <w:p w:rsidR="00C52450" w:rsidRDefault="00594F8D" w:rsidP="00D45AF6">
      <w:pPr>
        <w:spacing w:before="240" w:after="240" w:line="360" w:lineRule="auto"/>
      </w:pPr>
      <w:r>
        <w:t xml:space="preserve">So begrüßenswert die Aufnahme der Prinzipien aus Art. 3 UN BRK </w:t>
      </w:r>
      <w:r w:rsidR="00C52450">
        <w:t xml:space="preserve"> in § 1 Abs. 2 </w:t>
      </w:r>
      <w:r>
        <w:t>des Gese</w:t>
      </w:r>
      <w:r>
        <w:t>t</w:t>
      </w:r>
      <w:r>
        <w:t xml:space="preserve">zesentwurfs ist, so bedauerlich ist die Übernahme des Wortlauts der amtlichen deutschen Übersetzung der UN BRK. Diese wurde in Expert_innenkreisen vielfach und auch vom UN – </w:t>
      </w:r>
      <w:r>
        <w:lastRenderedPageBreak/>
        <w:t>BRK _Ausschuss als fehlerhaft kritisiert. Eine Alternative gibt es im deutschen Sprachraum durch die sog.  „Schattenübersetzung“.</w:t>
      </w:r>
      <w:r>
        <w:rPr>
          <w:rStyle w:val="Funotenzeichen"/>
        </w:rPr>
        <w:footnoteReference w:id="4"/>
      </w:r>
    </w:p>
    <w:p w:rsidR="00953738" w:rsidRDefault="00953738" w:rsidP="00953738">
      <w:pPr>
        <w:pStyle w:val="berschrift2"/>
      </w:pPr>
      <w:bookmarkStart w:id="9" w:name="_Toc435013421"/>
      <w:r>
        <w:t>§ 2 (Geltungsbereich)</w:t>
      </w:r>
      <w:bookmarkEnd w:id="9"/>
    </w:p>
    <w:p w:rsidR="004105B8" w:rsidRDefault="00953738" w:rsidP="00D45AF6">
      <w:pPr>
        <w:spacing w:before="240" w:after="240" w:line="360" w:lineRule="auto"/>
      </w:pPr>
      <w:r>
        <w:t xml:space="preserve">Ausdrücklich </w:t>
      </w:r>
      <w:r w:rsidR="00471032">
        <w:t xml:space="preserve">zu begrüßen ist </w:t>
      </w:r>
      <w:r>
        <w:t>die Einbeziehung von Beliehenen in den Geltungsbereich des Gesetzes. Gerade in Zeiten zunehmender Fremdvergabe von Aufgabenfüllungen, die eigen</w:t>
      </w:r>
      <w:r>
        <w:t>t</w:t>
      </w:r>
      <w:r>
        <w:t>lich unmittelbar durch die Träger öffentlicher Belange geleistet werden müssen, ist eine Ei</w:t>
      </w:r>
      <w:r>
        <w:t>n</w:t>
      </w:r>
      <w:r>
        <w:t>beziehung solcher Beliehene</w:t>
      </w:r>
      <w:r w:rsidR="00FD35DE">
        <w:t>r</w:t>
      </w:r>
      <w:r>
        <w:t xml:space="preserve"> zwingend notwendig, um den Schutzbereich des Gesetzes nicht zu untergraben.</w:t>
      </w:r>
    </w:p>
    <w:p w:rsidR="00AB60D0" w:rsidRDefault="00AB60D0" w:rsidP="00D45AF6">
      <w:pPr>
        <w:spacing w:before="240" w:after="240" w:line="360" w:lineRule="auto"/>
      </w:pPr>
      <w:r>
        <w:t>Ausweislich der Begründung zum Gesetzentwurf ist die in § 2 enthaltene Aufzählung der diesem Gesetz unterworfenen Träger öffentlicher Belange nicht abschließend.</w:t>
      </w:r>
      <w:r>
        <w:rPr>
          <w:rStyle w:val="Funotenzeichen"/>
        </w:rPr>
        <w:footnoteReference w:id="5"/>
      </w:r>
      <w:r>
        <w:t xml:space="preserve"> Der Form</w:t>
      </w:r>
      <w:r>
        <w:t>u</w:t>
      </w:r>
      <w:r>
        <w:t>lierung des § 2 ist ein solcher offener Katalog jedoch nicht zu entnehmen. Stattdessen ve</w:t>
      </w:r>
      <w:r>
        <w:t>r</w:t>
      </w:r>
      <w:r>
        <w:t>mittelt die gewählte Formulierung in § 2 S. 2 den Eindruck, dass es sich um eine abgeschlo</w:t>
      </w:r>
      <w:r>
        <w:t>s</w:t>
      </w:r>
      <w:r>
        <w:t>sene Aufzählung handelt. Es kann nicht davon ausgegangen werden, dass bei Anwendung dieses Gesetzes regelmäßig die Gesetzesbegründung herangezogen wird, sodass sich ein offener Trägerkatalog unmissverständlich aus dem Gesetzestext selbst erheben muss. Daher</w:t>
      </w:r>
      <w:r w:rsidR="00471032">
        <w:t xml:space="preserve"> wird vorgeschlagen, </w:t>
      </w:r>
      <w:r>
        <w:t>§ 2 S. 2 mit den Worten einzuleiten:</w:t>
      </w:r>
    </w:p>
    <w:p w:rsidR="00AB60D0" w:rsidRPr="00B01159" w:rsidRDefault="00AB60D0" w:rsidP="009D3615">
      <w:pPr>
        <w:spacing w:before="240" w:after="240" w:line="360" w:lineRule="auto"/>
        <w:ind w:left="1418" w:hanging="710"/>
        <w:rPr>
          <w:i/>
        </w:rPr>
      </w:pPr>
      <w:r w:rsidRPr="00B01159">
        <w:rPr>
          <w:i/>
        </w:rPr>
        <w:t>Zu den Trägern öffentlicher Belange gehören insbesondere…</w:t>
      </w:r>
    </w:p>
    <w:p w:rsidR="00AB60D0" w:rsidRDefault="00AB60D0" w:rsidP="00D45AF6">
      <w:pPr>
        <w:spacing w:before="240" w:after="240" w:line="360" w:lineRule="auto"/>
      </w:pPr>
      <w:r>
        <w:t>Erfreulicherweise ist im überarbeiteten Gesetzentwurf auch der Westdeutsche Rundfunk als Träger öffentlicher Belange vorgesehen, wenn auch nur für den Fall, dass nicht sonderg</w:t>
      </w:r>
      <w:r>
        <w:t>e</w:t>
      </w:r>
      <w:r>
        <w:t>setzliche Regelungen, die der Ausgestaltung des Art. 5 Abs. 1 GG dienen, bestehen.</w:t>
      </w:r>
    </w:p>
    <w:p w:rsidR="00422DB8" w:rsidRDefault="00422DB8" w:rsidP="00D45AF6">
      <w:pPr>
        <w:spacing w:before="240" w:after="240" w:line="360" w:lineRule="auto"/>
      </w:pPr>
      <w:r>
        <w:t>Einbezogen werden aber sollten  auch die Leistungserbringer in der Behindertenhilfe</w:t>
      </w:r>
      <w:r w:rsidR="004D25EE">
        <w:t xml:space="preserve">. Sie </w:t>
      </w:r>
      <w:r>
        <w:t>sind zwar keine  Beliehenen, nehmen aber im Rahmen des sozialrechtlichen Dreiecksve</w:t>
      </w:r>
      <w:r>
        <w:t>r</w:t>
      </w:r>
      <w:r>
        <w:t>hältnisses auch Aufgaben der</w:t>
      </w:r>
      <w:r w:rsidR="004D5D71">
        <w:t xml:space="preserve"> öffentlichen </w:t>
      </w:r>
      <w:r>
        <w:t>Daseinsvorsorge wahr</w:t>
      </w:r>
      <w:r w:rsidR="004D5D71">
        <w:t xml:space="preserve">. Sie sind daher auf die UN-BRK </w:t>
      </w:r>
      <w:r>
        <w:t xml:space="preserve">zu verpflichten. Dies entspricht dem menschenrechtlichen Pflichtentrias: Achtung, </w:t>
      </w:r>
      <w:r>
        <w:lastRenderedPageBreak/>
        <w:t>Schutz, Ge</w:t>
      </w:r>
      <w:r w:rsidR="004D5D71">
        <w:t>währleistung.</w:t>
      </w:r>
      <w:r w:rsidR="004D25EE">
        <w:t xml:space="preserve"> Eine entsprechende Erweiterung des § 2 auf nicht beliehene Lei</w:t>
      </w:r>
      <w:r w:rsidR="004D25EE">
        <w:t>s</w:t>
      </w:r>
      <w:r w:rsidR="004D25EE">
        <w:t>tungserbringer wird empfohlen.</w:t>
      </w:r>
    </w:p>
    <w:p w:rsidR="00953738" w:rsidRDefault="00953738" w:rsidP="00953738">
      <w:pPr>
        <w:pStyle w:val="berschrift2"/>
      </w:pPr>
      <w:bookmarkStart w:id="10" w:name="_Toc435013422"/>
      <w:r>
        <w:t>§ 3 (Menschen mit Behinderungen)</w:t>
      </w:r>
      <w:bookmarkEnd w:id="10"/>
    </w:p>
    <w:p w:rsidR="00FF782F" w:rsidRDefault="00C550C6" w:rsidP="00D45AF6">
      <w:pPr>
        <w:spacing w:before="240" w:after="240" w:line="360" w:lineRule="auto"/>
      </w:pPr>
      <w:r>
        <w:t xml:space="preserve">Im Zusammenhang mit der Definition von Menschen mit Behinderung ist es erfreulich, dass </w:t>
      </w:r>
      <w:r w:rsidR="00AB60D0">
        <w:t xml:space="preserve">auch der nunmehr </w:t>
      </w:r>
      <w:r>
        <w:t>vorliegende</w:t>
      </w:r>
      <w:r w:rsidR="00AB60D0">
        <w:t xml:space="preserve"> überarbeitete</w:t>
      </w:r>
      <w:r>
        <w:t xml:space="preserve"> Gesetzentwurf neben der Beeinträchtigung im klassischen Sinne auch die bestehenden Barrieren in den Behinderungsbegriff einbezieht, die im Zusammenwirken mit der Beeinträchtigung erst zur Behinderung im rechtlichen Sinne führen. Damit folgt der Gesetzentwurf</w:t>
      </w:r>
      <w:r w:rsidR="00FF782F">
        <w:t xml:space="preserve"> weitgehend der Sichtweise der UN-BRK, bleibt aber in einem wesentlichen Punkt hinter dieser Sichtweise zurück. Die UN-BRK verzichtet bewusst auf einen konkreten Behinderungsbegriff. Der im vorliegenden Gesetzentwurf abschließend umschriebene Personenkreis wird </w:t>
      </w:r>
      <w:r w:rsidR="00287976">
        <w:t xml:space="preserve">in der UN-BRK </w:t>
      </w:r>
      <w:r w:rsidR="00FF782F">
        <w:t>lediglich als der Gruppe von Menschen mit Behinderung zugehörig aufgefasst. Daher wird in der UN-BRK formuliert, dass zu den Me</w:t>
      </w:r>
      <w:r w:rsidR="00FF782F">
        <w:t>n</w:t>
      </w:r>
      <w:r w:rsidR="00FF782F">
        <w:t>schen mit Behinderungen […] gehören. Eine abschließende Definition des Personenkreises findet hingegen nicht statt, weitere Personen können hinzugerechnet werden.</w:t>
      </w:r>
    </w:p>
    <w:p w:rsidR="00FF782F" w:rsidRDefault="00FF782F" w:rsidP="00D45AF6">
      <w:pPr>
        <w:spacing w:before="240" w:after="240" w:line="360" w:lineRule="auto"/>
      </w:pPr>
      <w:r>
        <w:t>Daher</w:t>
      </w:r>
      <w:r w:rsidR="00471032">
        <w:t xml:space="preserve"> wird vorgeschlagen</w:t>
      </w:r>
      <w:r>
        <w:t>, insoweit die Vorgabe der UN-BRK vollständig zu übernehmen und den Gesetzesentwurf wie folgt zu verändern:</w:t>
      </w:r>
    </w:p>
    <w:p w:rsidR="00953738" w:rsidRPr="00FF782F" w:rsidRDefault="00FF782F" w:rsidP="009D3615">
      <w:pPr>
        <w:spacing w:before="240" w:after="240" w:line="360" w:lineRule="auto"/>
        <w:ind w:left="709" w:hanging="1"/>
        <w:rPr>
          <w:i/>
        </w:rPr>
      </w:pPr>
      <w:r w:rsidRPr="00FF782F">
        <w:rPr>
          <w:i/>
        </w:rPr>
        <w:t>Zu den Menschen mit Behinderungen im Sinne dieses Gesetzes gehören Menschen, die langfristige körperliche, seelische, geistige oder seelische Beeinträchtigungen h</w:t>
      </w:r>
      <w:r w:rsidRPr="00FF782F">
        <w:rPr>
          <w:i/>
        </w:rPr>
        <w:t>a</w:t>
      </w:r>
      <w:r w:rsidRPr="00FF782F">
        <w:rPr>
          <w:i/>
        </w:rPr>
        <w:t>ben, welche sie in Wechselwirkung mit verschiedenen Barrieren an der vollen, wir</w:t>
      </w:r>
      <w:r w:rsidRPr="00FF782F">
        <w:rPr>
          <w:i/>
        </w:rPr>
        <w:t>k</w:t>
      </w:r>
      <w:r w:rsidRPr="00FF782F">
        <w:rPr>
          <w:i/>
        </w:rPr>
        <w:t>samen und gleichberechtigten Teilhabe an der Gesellschaft hindern können. […]</w:t>
      </w:r>
    </w:p>
    <w:p w:rsidR="00F96C45" w:rsidRDefault="00F96C45" w:rsidP="00FF782F">
      <w:pPr>
        <w:spacing w:before="240" w:after="240" w:line="360" w:lineRule="auto"/>
      </w:pPr>
      <w:r>
        <w:t>Anerkennenswert ist das Bewusstsein des Gesetzgebers für Fallkonstellationen, bei denen aber einer restlichen Lebenserwartung von weniger als sechs Monaten die Anerkennung als Mensch mit Behinderung im Sinne dieses Gesetzes nicht berührt wird.</w:t>
      </w:r>
      <w:r>
        <w:rPr>
          <w:rStyle w:val="Funotenzeichen"/>
        </w:rPr>
        <w:footnoteReference w:id="6"/>
      </w:r>
      <w:r>
        <w:t xml:space="preserve"> Jedoch lässt sich eine solche Regelung wiederum dem Gesetzentwurf selbst nicht entnehmen.</w:t>
      </w:r>
    </w:p>
    <w:p w:rsidR="00F96C45" w:rsidRDefault="00F96C45" w:rsidP="009D3615">
      <w:pPr>
        <w:pStyle w:val="berschrift2"/>
      </w:pPr>
      <w:bookmarkStart w:id="11" w:name="_Toc435013423"/>
      <w:r>
        <w:lastRenderedPageBreak/>
        <w:t>§ 4 (Frauen und Mädchen, Kinder und Jugendliche, Eltern)</w:t>
      </w:r>
      <w:bookmarkEnd w:id="11"/>
    </w:p>
    <w:p w:rsidR="004D5D71" w:rsidRDefault="00FF782F" w:rsidP="00FF782F">
      <w:pPr>
        <w:spacing w:before="240" w:after="240" w:line="360" w:lineRule="auto"/>
      </w:pPr>
      <w:r>
        <w:t>Daneben</w:t>
      </w:r>
      <w:r w:rsidR="009D3615">
        <w:t xml:space="preserve"> </w:t>
      </w:r>
      <w:r w:rsidR="004D13A3">
        <w:t xml:space="preserve">wird ausdrücklich begrüßt </w:t>
      </w:r>
      <w:r>
        <w:t xml:space="preserve">, dass die besonderen Belange von Frauen </w:t>
      </w:r>
      <w:r w:rsidRPr="00FF782F">
        <w:rPr>
          <w:u w:val="single"/>
        </w:rPr>
        <w:t>und Mädchen</w:t>
      </w:r>
      <w:r>
        <w:t xml:space="preserve"> in den Gesetzentwurf aufgenommen wurden. Die besonderen geschlechtsspezifischen B</w:t>
      </w:r>
      <w:r>
        <w:t>e</w:t>
      </w:r>
      <w:r>
        <w:t>lange</w:t>
      </w:r>
      <w:r w:rsidR="00287976">
        <w:t xml:space="preserve"> dürfen </w:t>
      </w:r>
      <w:r>
        <w:t>nicht vom Erreichen einer bestimmten Altersgrenze abhängig gemacht werden.</w:t>
      </w:r>
      <w:r w:rsidR="00900AE4">
        <w:t xml:space="preserve"> </w:t>
      </w:r>
    </w:p>
    <w:p w:rsidR="00F96C45" w:rsidRDefault="004D13A3" w:rsidP="00FF782F">
      <w:pPr>
        <w:spacing w:before="240" w:after="240" w:line="360" w:lineRule="auto"/>
      </w:pPr>
      <w:r>
        <w:t>Positiv festzuhalten ist auch</w:t>
      </w:r>
      <w:r w:rsidR="00F96C45">
        <w:t>, dass die Berücksichtigung der besonderen Belange von Frauen und Mädchen nunmehr in einem neuen § 4 geregelt ist. Die bisherige Entwurfsfassung, die eine Verortung in § 3 (Menschen mit Behinderungen) vorsah, war insoweit nicht überze</w:t>
      </w:r>
      <w:r w:rsidR="00F96C45">
        <w:t>u</w:t>
      </w:r>
      <w:r w:rsidR="00F96C45">
        <w:t>gend</w:t>
      </w:r>
      <w:r>
        <w:t>.</w:t>
      </w:r>
    </w:p>
    <w:p w:rsidR="001A46C1" w:rsidRDefault="001F406F" w:rsidP="00FF782F">
      <w:pPr>
        <w:spacing w:before="240" w:after="240" w:line="360" w:lineRule="auto"/>
      </w:pPr>
      <w:r>
        <w:t>Das bloße Bekenntnis zur Berücksichtigung der besonderen Belange von Frauen und Mä</w:t>
      </w:r>
      <w:r>
        <w:t>d</w:t>
      </w:r>
      <w:r>
        <w:t>chen reicht jedoch bei weitem nicht aus. Gerade in diesem Bereich ist es besonders wichtig, die Betroffenen mit den Verpflichtungen korrespondierenden Rechtsansprüchen auszusta</w:t>
      </w:r>
      <w:r>
        <w:t>t</w:t>
      </w:r>
      <w:r>
        <w:t>ten, um dieser Zielvorgabe die notwendige Durchsetzungskraft zu geben. So muss beispiel</w:t>
      </w:r>
      <w:r>
        <w:t>s</w:t>
      </w:r>
      <w:r>
        <w:t>weise für den Fall, dass eine behinderte Frau mit Gewalterfahrungen im familiären Umfeld</w:t>
      </w:r>
      <w:r w:rsidR="001A46C1">
        <w:t xml:space="preserve"> in ein Frauenhaus ziehen muss, ab dem Einzug die notwendige Unterstützung bzw. Assistenz bereit gestellt werden.</w:t>
      </w:r>
    </w:p>
    <w:p w:rsidR="00FF782F" w:rsidRDefault="001A46C1" w:rsidP="00FF782F">
      <w:pPr>
        <w:spacing w:before="240" w:after="240" w:line="360" w:lineRule="auto"/>
      </w:pPr>
      <w:r>
        <w:t xml:space="preserve">Notwendig </w:t>
      </w:r>
      <w:r w:rsidR="004D25EE">
        <w:t xml:space="preserve">wäre </w:t>
      </w:r>
      <w:r>
        <w:t>zumindest ein</w:t>
      </w:r>
      <w:r w:rsidR="004D25EE">
        <w:t>e umfassende</w:t>
      </w:r>
      <w:r>
        <w:t xml:space="preserve"> Normprüfung</w:t>
      </w:r>
      <w:r w:rsidR="004D25EE">
        <w:t xml:space="preserve"> aller landesrechtlichen Regelu</w:t>
      </w:r>
      <w:r w:rsidR="004D25EE">
        <w:t>n</w:t>
      </w:r>
      <w:r w:rsidR="004D25EE">
        <w:t xml:space="preserve">gen auf deren Vereinbarkeit mit Art. 6 UN BRK. </w:t>
      </w:r>
      <w:r w:rsidR="00900AE4">
        <w:t>Bezüglich Kindern und Jugendlichen ist z</w:t>
      </w:r>
      <w:r w:rsidR="00900AE4">
        <w:t>u</w:t>
      </w:r>
      <w:r w:rsidR="00900AE4">
        <w:t>nächst positiv festzuhalten, dass Letztere in den Geltungsbereich des Gesetzes aufgeno</w:t>
      </w:r>
      <w:r w:rsidR="00900AE4">
        <w:t>m</w:t>
      </w:r>
      <w:r w:rsidR="00900AE4">
        <w:t xml:space="preserve">men wurden. </w:t>
      </w:r>
      <w:r w:rsidR="00675CEF">
        <w:t xml:space="preserve"> Auch die bisherige Sollvorgabe hinsichtlich der vorrangigen Berücksichtigung des Wohles der Kinder und Jugendlichen wurde erfreulicherweise in eine Mussvorschrift umgewandelt. Bestehen bleibt jedoch die Kritik an den unscharfen und unverbindlichen Vo</w:t>
      </w:r>
      <w:r w:rsidR="00675CEF">
        <w:t>r</w:t>
      </w:r>
      <w:r w:rsidR="00675CEF">
        <w:t>gaben hinsichtlich der tatsächlichen Umsetzung. Es wird wiederum lediglich von einer B</w:t>
      </w:r>
      <w:r w:rsidR="00675CEF">
        <w:t>e</w:t>
      </w:r>
      <w:r w:rsidR="00675CEF">
        <w:t>rücksichtigung oder einem Hinwirken gesprochen.</w:t>
      </w:r>
    </w:p>
    <w:p w:rsidR="00334864" w:rsidRDefault="00717B0C" w:rsidP="00FF782F">
      <w:pPr>
        <w:spacing w:before="240" w:after="240" w:line="360" w:lineRule="auto"/>
      </w:pPr>
      <w:r>
        <w:t xml:space="preserve">Als unzureichend </w:t>
      </w:r>
      <w:r w:rsidR="004D13A3">
        <w:t xml:space="preserve">anzusehen ist </w:t>
      </w:r>
      <w:r>
        <w:t>die Vorschrift zur selbstbestimmten Elternschaft mit Behi</w:t>
      </w:r>
      <w:r>
        <w:t>n</w:t>
      </w:r>
      <w:r>
        <w:t xml:space="preserve">derung. </w:t>
      </w:r>
      <w:r w:rsidR="004D25EE">
        <w:t xml:space="preserve">Zwar </w:t>
      </w:r>
      <w:r>
        <w:t>ist die Aufnahme dieser Lebenssituation in den Anwendungsbereich des G</w:t>
      </w:r>
      <w:r>
        <w:t>e</w:t>
      </w:r>
      <w:r>
        <w:t xml:space="preserve">setzes als Fortschritt </w:t>
      </w:r>
      <w:r w:rsidR="004D25EE">
        <w:t xml:space="preserve"> anzusehen.</w:t>
      </w:r>
      <w:r>
        <w:t xml:space="preserve"> </w:t>
      </w:r>
      <w:r w:rsidR="004D25EE">
        <w:t>Es reicht aber nicht die spezifischen Bedürfnisse behinde</w:t>
      </w:r>
      <w:r w:rsidR="004D25EE">
        <w:t>r</w:t>
      </w:r>
      <w:r w:rsidR="004D25EE">
        <w:lastRenderedPageBreak/>
        <w:t>ter Eltern lediglich zu berücksichtigen. N</w:t>
      </w:r>
      <w:r>
        <w:t>otwendig ist vielmehr ein bindender Sicherste</w:t>
      </w:r>
      <w:r>
        <w:t>l</w:t>
      </w:r>
      <w:r>
        <w:t xml:space="preserve">lungsauftrag </w:t>
      </w:r>
      <w:r w:rsidR="004D25EE">
        <w:t>mit entsprechenden subjektiven Rechten behinderter Eltern</w:t>
      </w:r>
      <w:r>
        <w:t>.</w:t>
      </w:r>
      <w:r w:rsidR="00334864">
        <w:t xml:space="preserve"> </w:t>
      </w:r>
    </w:p>
    <w:p w:rsidR="007F57D2" w:rsidRDefault="007F57D2" w:rsidP="007F57D2">
      <w:pPr>
        <w:pStyle w:val="berschrift2"/>
      </w:pPr>
      <w:bookmarkStart w:id="12" w:name="_Toc435013424"/>
      <w:r>
        <w:t xml:space="preserve">§ </w:t>
      </w:r>
      <w:r w:rsidR="002E5713">
        <w:t xml:space="preserve">5 </w:t>
      </w:r>
      <w:r>
        <w:t>(Allgemeine Grundsätze für die Träger öffentlicher Belange)</w:t>
      </w:r>
      <w:bookmarkEnd w:id="12"/>
    </w:p>
    <w:p w:rsidR="00900AE4" w:rsidRDefault="007F57D2" w:rsidP="00FF782F">
      <w:pPr>
        <w:spacing w:before="240" w:after="240" w:line="360" w:lineRule="auto"/>
      </w:pPr>
      <w:r>
        <w:t xml:space="preserve">Die in § </w:t>
      </w:r>
      <w:r w:rsidR="002E5713">
        <w:t>5</w:t>
      </w:r>
      <w:r>
        <w:t xml:space="preserve"> Abs. 1 zum Ausdruck gebrachte Sichtweise, dass die Herstellung inklusiver Leben</w:t>
      </w:r>
      <w:r>
        <w:t>s</w:t>
      </w:r>
      <w:r>
        <w:t>verhältnisse eine gesa</w:t>
      </w:r>
      <w:r w:rsidR="00E105C8">
        <w:t>mtgesellschaftliche Aufgabe sei</w:t>
      </w:r>
      <w:r>
        <w:t xml:space="preserve">, wird ausdrücklich geteilt und begrüßt. Jedoch erscheint es aus unserer Sicht notwendig, diesen programmatischen Grundsatz durch den Hinweis zu ergänzen, dass diese gesamtgesellschaftliche Aufgabe die Träger öffentlicher Belange </w:t>
      </w:r>
      <w:r w:rsidR="00FE456B">
        <w:t xml:space="preserve">in erster Linie </w:t>
      </w:r>
      <w:r>
        <w:t>verpflichtet.</w:t>
      </w:r>
      <w:r w:rsidR="00FE456B">
        <w:t xml:space="preserve"> Das gilt ja für die Umsetzung von Menschenrechten al</w:t>
      </w:r>
      <w:r w:rsidR="00FE456B">
        <w:t>l</w:t>
      </w:r>
      <w:r w:rsidR="00FE456B">
        <w:t>gemein: der Staat und seine Organe sind die Verantwortlichen. Er muss die Rahmenbedi</w:t>
      </w:r>
      <w:r w:rsidR="00FE456B">
        <w:t>n</w:t>
      </w:r>
      <w:r w:rsidR="00FE456B">
        <w:t>gungen für den gesamtgesellschaftlichen Wandel schaffen.</w:t>
      </w:r>
      <w:r>
        <w:t xml:space="preserve"> </w:t>
      </w:r>
      <w:r w:rsidR="00FE456B">
        <w:t>Die</w:t>
      </w:r>
      <w:r>
        <w:t xml:space="preserve"> </w:t>
      </w:r>
      <w:r w:rsidR="00FE456B">
        <w:t xml:space="preserve">Bezeichnung </w:t>
      </w:r>
      <w:r>
        <w:t xml:space="preserve">der Aufgabe als gesamtgesellschaftliche Aufgabe darf nicht </w:t>
      </w:r>
      <w:r w:rsidR="00FE456B">
        <w:t xml:space="preserve">zum </w:t>
      </w:r>
      <w:r>
        <w:t xml:space="preserve">Schlupfloch </w:t>
      </w:r>
      <w:r w:rsidR="00FE456B">
        <w:t>werden</w:t>
      </w:r>
      <w:r>
        <w:t>,</w:t>
      </w:r>
      <w:r w:rsidR="00FE456B">
        <w:t xml:space="preserve"> um</w:t>
      </w:r>
      <w:r>
        <w:t xml:space="preserve"> die Erfüllung dieser Aufgabe von </w:t>
      </w:r>
      <w:r w:rsidR="00FE456B">
        <w:t>staatlichen Trägern</w:t>
      </w:r>
      <w:r>
        <w:t xml:space="preserve"> fernzuhalten und anderen Akteuren der Gesellschaft </w:t>
      </w:r>
      <w:r w:rsidR="00FE456B">
        <w:t>aufz</w:t>
      </w:r>
      <w:r w:rsidR="00FE456B">
        <w:t>u</w:t>
      </w:r>
      <w:r w:rsidR="00FE456B">
        <w:t>bürden</w:t>
      </w:r>
      <w:r>
        <w:t>.</w:t>
      </w:r>
    </w:p>
    <w:p w:rsidR="003A3FED" w:rsidRDefault="003A3FED" w:rsidP="00FF782F">
      <w:pPr>
        <w:spacing w:before="240" w:after="240" w:line="360" w:lineRule="auto"/>
      </w:pPr>
      <w:r>
        <w:t xml:space="preserve">In § </w:t>
      </w:r>
      <w:r w:rsidR="002E5713">
        <w:t>5</w:t>
      </w:r>
      <w:r>
        <w:t xml:space="preserve"> Abs. 2 bedarf es einer Ergänzung dergestalt, dass die verankerten Grundsätze der UN-BRK nicht nur zu achten, sondern aktiv zu fördern sind. Eine </w:t>
      </w:r>
      <w:r w:rsidR="005D7DF1">
        <w:t xml:space="preserve">bloße </w:t>
      </w:r>
      <w:r>
        <w:t xml:space="preserve">Beachtung der Grundsätze kann auch durch ein rein passives Verhalten erreicht werden. Eine zielorientierte Umsetzung des landesweiten Aktionsplans sowie der Vorgaben der UN-BRK insgesamt fordert jedoch ein aktives </w:t>
      </w:r>
      <w:r w:rsidR="005D7DF1">
        <w:t>Handeln</w:t>
      </w:r>
      <w:r>
        <w:t>, sodass die oben genannte Ergänzung angezeigt ist.</w:t>
      </w:r>
    </w:p>
    <w:p w:rsidR="0032533E" w:rsidRDefault="003A3FED" w:rsidP="00FF782F">
      <w:pPr>
        <w:spacing w:before="240" w:after="240" w:line="360" w:lineRule="auto"/>
      </w:pPr>
      <w:r>
        <w:t xml:space="preserve">Die bloße Sollvorgabe zur Zusammenarbeit in § </w:t>
      </w:r>
      <w:r w:rsidR="00871326">
        <w:t>5</w:t>
      </w:r>
      <w:r>
        <w:t xml:space="preserve"> Abs. 3 ist zu schwach ausgeprägt und ist durch eine Verpflichtung zur Zusammenarbeit zu ersetzen. Die Einschränkung, dass diese Zusammenarbeit nur bei entsprechender Notwendigkeit erfolgen soll, ist zu streichen. Das Kriterium einer Notwendigkeit ist zu unscharf, als dass es nicht dazu missbraucht werden könnte, die</w:t>
      </w:r>
      <w:r w:rsidR="005D7DF1">
        <w:t xml:space="preserve"> Verpflichtung zur Zusammenarbeit </w:t>
      </w:r>
      <w:r>
        <w:t>auszublenden.</w:t>
      </w:r>
    </w:p>
    <w:p w:rsidR="000F087F" w:rsidRDefault="004D13A3" w:rsidP="00FF782F">
      <w:pPr>
        <w:spacing w:before="240" w:after="240" w:line="360" w:lineRule="auto"/>
      </w:pPr>
      <w:r>
        <w:t xml:space="preserve">Begrüßt wird </w:t>
      </w:r>
      <w:r w:rsidR="000F087F">
        <w:t>die</w:t>
      </w:r>
      <w:r w:rsidR="00871326">
        <w:t xml:space="preserve"> in § 5 Abs. 4 festgelegte</w:t>
      </w:r>
      <w:r w:rsidR="000F087F">
        <w:t xml:space="preserve"> Verpflichtung der Träger öffentlicher Belange, b</w:t>
      </w:r>
      <w:r w:rsidR="000F087F">
        <w:t>e</w:t>
      </w:r>
      <w:r w:rsidR="000F087F">
        <w:t xml:space="preserve">teiligungsrechtliche Einflussmöglichkeiten im Sinne der UN-BRK bzw. der Sozialen Inklusion bei juristischen Personen des Privatrechts einzusetzen. </w:t>
      </w:r>
      <w:r w:rsidR="00871326">
        <w:t>Erfreulicherweise ist die im früheren Gesetzentwurf vorhandene Einschränkung auf Fälle einer mehrheitlichen Beteiligung gestr</w:t>
      </w:r>
      <w:r w:rsidR="00871326">
        <w:t>i</w:t>
      </w:r>
      <w:r w:rsidR="00871326">
        <w:lastRenderedPageBreak/>
        <w:t>chen worden. Zu kritisieren ist jedoch, dass es sich lediglich um ein Hinwirken auf eine B</w:t>
      </w:r>
      <w:r w:rsidR="00871326">
        <w:t>e</w:t>
      </w:r>
      <w:r w:rsidR="00871326">
        <w:t>rücksichtigung der Ziele des Gesetzes handele. Diese</w:t>
      </w:r>
      <w:r w:rsidR="0020328F">
        <w:t xml:space="preserve"> zweifacher </w:t>
      </w:r>
      <w:r w:rsidR="00871326">
        <w:t>Abschwächung</w:t>
      </w:r>
      <w:r w:rsidR="0020328F">
        <w:t xml:space="preserve"> der Vorgabe verringert die Reichweite und Durchsetzungskraft dieses beteiligungsrechtlichen Handlung</w:t>
      </w:r>
      <w:r w:rsidR="0020328F">
        <w:t>s</w:t>
      </w:r>
      <w:r w:rsidR="0020328F">
        <w:t>auftrags in einer Art und Weise, die einerseits nicht notwendig ist andererseits mit den a</w:t>
      </w:r>
      <w:r w:rsidR="0020328F">
        <w:t>m</w:t>
      </w:r>
      <w:r w:rsidR="0020328F">
        <w:t>bitionierten Zielsetzungen des Gesetzes nicht vereinbar ist.</w:t>
      </w:r>
    </w:p>
    <w:p w:rsidR="00DB582D" w:rsidRDefault="000F087F" w:rsidP="00FF782F">
      <w:pPr>
        <w:spacing w:before="240" w:after="240" w:line="360" w:lineRule="auto"/>
      </w:pPr>
      <w:r>
        <w:t xml:space="preserve">Abzulehnen ist die bloße Sollvorgabe in § </w:t>
      </w:r>
      <w:r w:rsidR="00871326">
        <w:t>5</w:t>
      </w:r>
      <w:r>
        <w:t xml:space="preserve"> Abs. 5 bei der Gewährung von Zuwendungen und sonstigen Leistungen, die Ziele des Gesetzes zu beachten. Gerade die Gewährung derartiger Zuwendungen bietet eine gute Einflussmöglichkeit, um den Geltungsbereich des Gesetzes Rechtssicherheit und wirksam zu erweitern. Die Träger öffentlicher Belange haben einen relativ breit gefassten Beurteilungsspielraum, welche Kriterien bei der Gewährung derartiger Zuwendungen zu beachten sind. Dies eröffnet die Möglichkeit, auch gesellschaftspolitische Zielsetzungen in ihrer Durchsetzbarkeit zu stärken. Das Ziel der Soziale</w:t>
      </w:r>
      <w:r w:rsidR="005D7DF1">
        <w:t>n</w:t>
      </w:r>
      <w:r>
        <w:t xml:space="preserve"> Inklusion im Sinne des vorliegenden Gesetzentwurfs ist ein wichtiges Ziel, welches auch durch das Zuwendungs- bzw. Vergaberecht gefördert werden muss.</w:t>
      </w:r>
      <w:r w:rsidR="00DB582D">
        <w:t xml:space="preserve"> Auch ist die Beschränkung auf so genannte g</w:t>
      </w:r>
      <w:r w:rsidR="00DB582D">
        <w:t>e</w:t>
      </w:r>
      <w:r w:rsidR="00DB582D">
        <w:t>eignete Bereiche zu streichen. Angesichts der Komplexität der Aufgabe, eine inklusive G</w:t>
      </w:r>
      <w:r w:rsidR="00DB582D">
        <w:t>e</w:t>
      </w:r>
      <w:r w:rsidR="00DB582D">
        <w:t>sellschaft nach den Grundprinzipien der UN-BRK zu entwickeln und umzusetzen, dürfte es schwer fallen, Bereiche zu definieren, die für die Beachtung der Gesetze dieses Zieles nicht geeignet sind.</w:t>
      </w:r>
    </w:p>
    <w:p w:rsidR="003A0DF5" w:rsidRDefault="003A0DF5" w:rsidP="00FF782F">
      <w:pPr>
        <w:spacing w:before="240" w:after="240" w:line="360" w:lineRule="auto"/>
      </w:pPr>
      <w:r>
        <w:t>Aus diesem Grund ist der Formulierung im Begründungstext, wonach es bedeuten kann, dass Förderrichtlinien um die Anforderungen aus dem Gesetz ergänzt werden</w:t>
      </w:r>
      <w:r>
        <w:rPr>
          <w:rStyle w:val="Funotenzeichen"/>
        </w:rPr>
        <w:footnoteReference w:id="7"/>
      </w:r>
      <w:r>
        <w:t>, abzulehnen. Vielmehr besteht eine Verpflichtung, eine Anpassung der Förderrichtlinien in diesem Sinne vorzunehmen.</w:t>
      </w:r>
    </w:p>
    <w:p w:rsidR="00DB582D" w:rsidRDefault="00DB582D" w:rsidP="00DB582D">
      <w:pPr>
        <w:pStyle w:val="berschrift2"/>
      </w:pPr>
      <w:bookmarkStart w:id="13" w:name="_Toc435013425"/>
      <w:r>
        <w:t xml:space="preserve">§ </w:t>
      </w:r>
      <w:r w:rsidR="003A0DF5">
        <w:t>6</w:t>
      </w:r>
      <w:r>
        <w:t xml:space="preserve"> (Anforderungen an die Gesetzgebung)</w:t>
      </w:r>
      <w:bookmarkEnd w:id="13"/>
    </w:p>
    <w:p w:rsidR="001A46C1" w:rsidRDefault="00DB582D" w:rsidP="00FF782F">
      <w:pPr>
        <w:spacing w:before="240" w:after="240" w:line="360" w:lineRule="auto"/>
      </w:pPr>
      <w:r>
        <w:t xml:space="preserve">Zur in § </w:t>
      </w:r>
      <w:r w:rsidR="003A0DF5">
        <w:t>6</w:t>
      </w:r>
      <w:r>
        <w:t xml:space="preserve"> enthaltenen Vorgabe, besondere gesetzliche Regelungen für Menschen mit Behi</w:t>
      </w:r>
      <w:r>
        <w:t>n</w:t>
      </w:r>
      <w:r>
        <w:t xml:space="preserve">derung anstelle von Sondergesetzen in den jeweiligen fachgesetzlichen Regelungen </w:t>
      </w:r>
      <w:r w:rsidR="005D7DF1">
        <w:t>zu ve</w:t>
      </w:r>
      <w:r w:rsidR="005D7DF1">
        <w:t>r</w:t>
      </w:r>
      <w:r w:rsidR="005D7DF1">
        <w:t>ankern</w:t>
      </w:r>
      <w:r>
        <w:t>,</w:t>
      </w:r>
      <w:r w:rsidR="001A46C1">
        <w:t xml:space="preserve"> ist grundsätzlich</w:t>
      </w:r>
      <w:r w:rsidR="00FE456B">
        <w:t xml:space="preserve"> als Maßnahme des disability mainstreaming</w:t>
      </w:r>
      <w:r w:rsidR="001A46C1">
        <w:t xml:space="preserve"> zu begrüßen</w:t>
      </w:r>
      <w:r w:rsidR="00FE456B">
        <w:t>.</w:t>
      </w:r>
    </w:p>
    <w:p w:rsidR="001A46C1" w:rsidRDefault="001A46C1" w:rsidP="001A46C1">
      <w:pPr>
        <w:spacing w:before="240" w:after="240" w:line="360" w:lineRule="auto"/>
      </w:pPr>
      <w:r>
        <w:lastRenderedPageBreak/>
        <w:t>Für eine Regelung der besonderen Bestimmungen für behinderte Menschen innerhalb der allgemein gültigen Fachgesetze spricht unbestritten der Grundsatz der Inklusion, denn eine Regelung in dieser Form bedeutet vereinfacht gesagt nichts anderes, als dass ein allgemein gültiges Fachgesetz in einer Art und Weise formuliert wird, dass Menschen mit und ohne Behinderung gleichermaßen dort ihre Bedürfnisse und Belange berücksichtigt finden.</w:t>
      </w:r>
    </w:p>
    <w:p w:rsidR="001A46C1" w:rsidRDefault="001A46C1" w:rsidP="001A46C1">
      <w:pPr>
        <w:spacing w:before="240" w:after="240" w:line="360" w:lineRule="auto"/>
      </w:pPr>
      <w:r>
        <w:t>Die praktische Erfahrung in der Beratung von Menschen mit Behinderung zeigt aber auch die negative Seite einer solchen Regelung innerhalb der allgemein gültigen Gesetze. So stellt sich beispielsweise bei Beratungen zum Thema Arbeitsförderung, bei welchem das Dritte Buch Sozialgesetzbuch einschlägig ist, das Problem, dass die speziellen Regelungen für Menschen mit Behinderung zwar in dieses Gesetz weitgehend integriert, dort aber nur sehr schwer aufzufinden und anzuwenden sind. Hinzu kommt, dass jedes allgemein gültige Fachgesetz eigene Maßstäbe für die Definition verschiedener Begrifflichkeiten aus dem Themenkreis Behinderung anlegt. Eine Vereinheitlichung zentraler Regelungen und Bestimmungen zum Thema Behinderung war seinerzeit auch ein wesentlicher Wunsch an ein neu zu erschaffe</w:t>
      </w:r>
      <w:r>
        <w:t>n</w:t>
      </w:r>
      <w:r>
        <w:t>des Neuntes Buch Sozialgesetzbuch. Auch wenn diesbezüglich bei weitem nicht alle Erwa</w:t>
      </w:r>
      <w:r>
        <w:t>r</w:t>
      </w:r>
      <w:r>
        <w:t>tungen erfüllt werden und insbesondere die häufig kritisierte Zersplitterung des Rehabilitat</w:t>
      </w:r>
      <w:r>
        <w:t>i</w:t>
      </w:r>
      <w:r>
        <w:t>ons- und Teilhaberechts nicht überwunden werden konnte, so enthält das SGB IX die w</w:t>
      </w:r>
      <w:r>
        <w:t>e</w:t>
      </w:r>
      <w:r>
        <w:t>sentlichen Grundbegriffe aus diesem Themengebiet und wird zumindest teilweise fachübe</w:t>
      </w:r>
      <w:r>
        <w:t>r</w:t>
      </w:r>
      <w:r>
        <w:t>greifend als Maßstab herangezogen. Dieses Ziel sollte weiterverfolgt und gestärkt werden. Die unterschiedliche Auslegung wesentlicher Begrifflichkeiten zeigt sich beispielsweise im Sozialhilferecht, welches nach den Grundsätzen der Nachrangigkeit und der Beschränkung auf das Maß des Notwendigen im Einzelfall ein deutlich geringeres Leistungsniveau berei</w:t>
      </w:r>
      <w:r>
        <w:t>t</w:t>
      </w:r>
      <w:r>
        <w:t>hält als etwa vergleichbare Leistungen nach den Bestimmungen des Siebten Buches Sozia</w:t>
      </w:r>
      <w:r>
        <w:t>l</w:t>
      </w:r>
      <w:r>
        <w:t>gesetzbuch, dem Leistungsgesetz der gesetzlichen Unfallversicherung.</w:t>
      </w:r>
    </w:p>
    <w:p w:rsidR="001A46C1" w:rsidRDefault="001A46C1" w:rsidP="00FF782F">
      <w:pPr>
        <w:spacing w:before="240" w:after="240" w:line="360" w:lineRule="auto"/>
      </w:pPr>
      <w:r>
        <w:t>Die Frage der Platzierung der spezifischen Rechtsnormen ist hierbei jedoch das geringere Problem, viel gravierender ist die sich aus einer Spezialregelung ergebende Gefahr der Scha</w:t>
      </w:r>
      <w:r>
        <w:t>f</w:t>
      </w:r>
      <w:r>
        <w:t xml:space="preserve">fung von Sonderwelten und Parallelstrukturen. So enthält das Neunte Buch Sozialgesetzbuch zahlreiche Bestimmungen über Werkstätten für Menschen mit Behinderungen und regelt </w:t>
      </w:r>
      <w:r>
        <w:lastRenderedPageBreak/>
        <w:t>damit eine Institution, die dem Gedanken einer Inklusion auf dem allgemeinen Arbeitsmarkt entgegenstehen.</w:t>
      </w:r>
    </w:p>
    <w:p w:rsidR="00A92D83" w:rsidRDefault="00A92D83" w:rsidP="00FF782F">
      <w:pPr>
        <w:spacing w:before="240" w:after="240" w:line="360" w:lineRule="auto"/>
      </w:pPr>
      <w:r>
        <w:t xml:space="preserve">Denkbar wäre ein Kompromiss dergestalt, dass in den allgemeinen gültigen Fachgesetzen auf Bestimmungen des SGB IX </w:t>
      </w:r>
      <w:r w:rsidR="005C0636">
        <w:t>oder</w:t>
      </w:r>
      <w:r w:rsidR="00B2325A">
        <w:t xml:space="preserve"> andere spezifische Rechtsnormen in diesem Sinne </w:t>
      </w:r>
      <w:r>
        <w:t>ve</w:t>
      </w:r>
      <w:r>
        <w:t>r</w:t>
      </w:r>
      <w:r>
        <w:t>wiesen wird.</w:t>
      </w:r>
      <w:r w:rsidR="001A46C1">
        <w:t xml:space="preserve"> Das Hauptaugenmerk muss jedoch auf die Vermeidung von Sonderwelten g</w:t>
      </w:r>
      <w:r w:rsidR="001A46C1">
        <w:t>e</w:t>
      </w:r>
      <w:r w:rsidR="001A46C1">
        <w:t>legt werden.</w:t>
      </w:r>
    </w:p>
    <w:p w:rsidR="00A92D83" w:rsidRDefault="00A92D83" w:rsidP="00A92D83">
      <w:pPr>
        <w:pStyle w:val="berschrift2"/>
      </w:pPr>
      <w:bookmarkStart w:id="14" w:name="_Toc435013426"/>
      <w:r>
        <w:t xml:space="preserve">§ </w:t>
      </w:r>
      <w:r w:rsidR="003A0DF5">
        <w:t>7</w:t>
      </w:r>
      <w:r>
        <w:t xml:space="preserve"> (Zugänglichkeit der Dienste und Einrichtungen für die Allgemeinheit)</w:t>
      </w:r>
      <w:bookmarkEnd w:id="14"/>
    </w:p>
    <w:p w:rsidR="00A92D83" w:rsidRDefault="00A92D83" w:rsidP="00FF782F">
      <w:pPr>
        <w:spacing w:before="240" w:after="240" w:line="360" w:lineRule="auto"/>
      </w:pPr>
      <w:r>
        <w:t xml:space="preserve">§ </w:t>
      </w:r>
      <w:r w:rsidR="003A0DF5">
        <w:t>7</w:t>
      </w:r>
      <w:r>
        <w:t xml:space="preserve"> dient augenscheinlich der Umsetzung der Vorgaben aus Art. 19 UN-BRK, in welchem im wesentlichen die Grundzüge der Teilhabe am Leben in der Gemeinschaft und der selbstb</w:t>
      </w:r>
      <w:r>
        <w:t>e</w:t>
      </w:r>
      <w:r>
        <w:t xml:space="preserve">stimmten Lebensführung geregelt </w:t>
      </w:r>
      <w:r w:rsidR="00627226">
        <w:t>sind</w:t>
      </w:r>
      <w:r>
        <w:t>. Diese Norm ist aus Sicht der Betroffenen von zentr</w:t>
      </w:r>
      <w:r>
        <w:t>a</w:t>
      </w:r>
      <w:r>
        <w:t>ler Bedeutung, enthält</w:t>
      </w:r>
      <w:r w:rsidR="00627226">
        <w:t xml:space="preserve"> sie</w:t>
      </w:r>
      <w:r>
        <w:t xml:space="preserve"> jedoch die entscheidenden Bestimmungen zur Gewährleistung eines selbstbestimmten Lebens in einer inklusiven Gesellschaft. Vor diesem Hintergrund ist zu kritisieren, dass der Gesetzgeber für die angesprochenen Träger öffentlicher Belange l</w:t>
      </w:r>
      <w:r>
        <w:t>e</w:t>
      </w:r>
      <w:r>
        <w:t xml:space="preserve">diglich eine Sollvorgabe </w:t>
      </w:r>
      <w:r w:rsidR="00F95D49">
        <w:t>dahin gehend</w:t>
      </w:r>
      <w:r>
        <w:t xml:space="preserve"> formuliert hat, dass die Zugänglichkeit von Diensten und Einrichtungen, die der Allgemeinheit offen stehen, zu gewährleisten ist. Angesichts der zentralen Bedeutung des </w:t>
      </w:r>
      <w:r w:rsidR="003A0DF5">
        <w:t xml:space="preserve">Art. </w:t>
      </w:r>
      <w:r>
        <w:t xml:space="preserve">19 UN-BRK für eine selbstbestimmte Lebensführung </w:t>
      </w:r>
      <w:r w:rsidR="004D13A3">
        <w:t xml:space="preserve">ist es notwendig, </w:t>
      </w:r>
      <w:r>
        <w:t>diese Sollvorgabe in eine Mussvorschrift umzuwandeln. Darüber hinaus darf sich diese Verpflichtung nicht allein auf die Gewährleistung von Zugänglichkeit der angesproch</w:t>
      </w:r>
      <w:r>
        <w:t>e</w:t>
      </w:r>
      <w:r>
        <w:t>nen Dienste und Einrichtungen beschränken, sondern muss auch deren Auffindbarkeit und Nutzbarkeit sicherstellen. Auffindbarkeit, Zugänglichkeit und Nutzbarkeit bilden die wesen</w:t>
      </w:r>
      <w:r>
        <w:t>t</w:t>
      </w:r>
      <w:r>
        <w:t>lichen Elemente einer barrierefreien Umgebung.</w:t>
      </w:r>
    </w:p>
    <w:p w:rsidR="00273DE5" w:rsidRDefault="00A92D83" w:rsidP="00FF782F">
      <w:pPr>
        <w:spacing w:before="240" w:after="240" w:line="360" w:lineRule="auto"/>
      </w:pPr>
      <w:r>
        <w:t>Die Vorgabe, Sondereinrichtungen und -dienste zu vermeiden,</w:t>
      </w:r>
      <w:r w:rsidR="00DA695B">
        <w:t xml:space="preserve"> ist vor dem Hintergrund, dass diese beiden Begrifflichkeiten nicht abschließend definiert sind, als problematisch zu bewe</w:t>
      </w:r>
      <w:r w:rsidR="00DA695B">
        <w:t>r</w:t>
      </w:r>
      <w:r w:rsidR="00DA695B">
        <w:t>ten. Die Vorgabe zur Vermeidung kann beispielsweise im Bereich der Bewilligung von Teilh</w:t>
      </w:r>
      <w:r w:rsidR="00DA695B">
        <w:t>a</w:t>
      </w:r>
      <w:r w:rsidR="00DA695B">
        <w:t xml:space="preserve">beleistungen in dem Sinne interpretiert werden, dass es Aufgabe aller Träger öffentlicher Belange ist, eine vollständig barrierefreie Umgebung zu realisieren und deshalb individuelle Teilhabeleistungen als Sonderleistungen weder notwendig noch geboten sind. Im Bereich der Eingliederungshilfe zum Besuch der Hochschule etwa sind derartige Abwehrreflexe der </w:t>
      </w:r>
      <w:r w:rsidR="00DA695B">
        <w:lastRenderedPageBreak/>
        <w:t xml:space="preserve">angegangenen Kostenträger </w:t>
      </w:r>
      <w:r w:rsidR="00FE456B">
        <w:t xml:space="preserve">inzwischen </w:t>
      </w:r>
      <w:r w:rsidR="00DA695B">
        <w:t>anzutreffen. Hier wird die Notwendigkeit von Tei</w:t>
      </w:r>
      <w:r w:rsidR="00DA695B">
        <w:t>l</w:t>
      </w:r>
      <w:r w:rsidR="00DA695B">
        <w:t>habeleistungen oftmals mit dem Argument angezweifelt, die Sicherstellung einer barrier</w:t>
      </w:r>
      <w:r w:rsidR="00DA695B">
        <w:t>e</w:t>
      </w:r>
      <w:r w:rsidR="00DA695B">
        <w:t>freien Hochschullandschaft sei Aufgabe der jeweiligen Hochschule. Es ist aber davon ausz</w:t>
      </w:r>
      <w:r w:rsidR="00DA695B">
        <w:t>u</w:t>
      </w:r>
      <w:r w:rsidR="00DA695B">
        <w:t xml:space="preserve">gehen, dass auch bei Realisierung einer barrierefreien Gesellschaft </w:t>
      </w:r>
      <w:r w:rsidR="00F95D49">
        <w:t>weiterhin</w:t>
      </w:r>
      <w:r w:rsidR="00DA695B">
        <w:t xml:space="preserve"> Fallkonstellat</w:t>
      </w:r>
      <w:r w:rsidR="00DA695B">
        <w:t>i</w:t>
      </w:r>
      <w:r w:rsidR="00DA695B">
        <w:t xml:space="preserve">onen existieren werden, </w:t>
      </w:r>
      <w:r w:rsidR="00BB35A6">
        <w:t xml:space="preserve">in denen „Sonderleistungen“ erforderlich sind </w:t>
      </w:r>
      <w:r w:rsidR="00DA695B">
        <w:t xml:space="preserve">. </w:t>
      </w:r>
      <w:r w:rsidR="00BB35A6">
        <w:t>Insgesamt muss klar gestellt werden, dass disability mainstreaming zu mehr Inklusion, nicht aber zu verschlec</w:t>
      </w:r>
      <w:r w:rsidR="00BB35A6">
        <w:t>h</w:t>
      </w:r>
      <w:r w:rsidR="00BB35A6">
        <w:t>ternden Leistungseinschränkungen im Einzelfall führen darf.</w:t>
      </w:r>
    </w:p>
    <w:p w:rsidR="00A92D83" w:rsidRDefault="00DA695B" w:rsidP="00FF782F">
      <w:pPr>
        <w:spacing w:before="240" w:after="240" w:line="360" w:lineRule="auto"/>
      </w:pPr>
      <w:r>
        <w:t>Soweit es um den aufbauenden Erhalt einer flächendeckenden Struktur von Diensten für Menschen mit Behinderung geht,</w:t>
      </w:r>
      <w:r w:rsidR="00B2325A">
        <w:t xml:space="preserve"> ist </w:t>
      </w:r>
      <w:r>
        <w:t xml:space="preserve">ein bloßes Hinwirken der Träger öffentlicher Belange nicht ausreichend. Angesichts der besonderen Bedeutung derartiger Strukturen und Dienste für behinderte Menschen </w:t>
      </w:r>
      <w:r w:rsidR="004D13A3">
        <w:t xml:space="preserve">bedarf es </w:t>
      </w:r>
      <w:r>
        <w:t>insoweit eine</w:t>
      </w:r>
      <w:r w:rsidR="00BB35A6">
        <w:t>s</w:t>
      </w:r>
      <w:r>
        <w:t xml:space="preserve"> konkreten Sicherstellungsauftrag</w:t>
      </w:r>
      <w:r w:rsidR="004D13A3">
        <w:t>s</w:t>
      </w:r>
      <w:r>
        <w:t xml:space="preserve"> durch diese Träger.</w:t>
      </w:r>
    </w:p>
    <w:p w:rsidR="00C75D24" w:rsidRDefault="00C75D24" w:rsidP="00C75D24">
      <w:pPr>
        <w:pStyle w:val="berschrift2"/>
      </w:pPr>
      <w:bookmarkStart w:id="15" w:name="_Toc435013427"/>
      <w:r>
        <w:t xml:space="preserve">§ </w:t>
      </w:r>
      <w:r w:rsidR="00350512">
        <w:t>8</w:t>
      </w:r>
      <w:r>
        <w:t xml:space="preserve"> (Kompetenz- und Koordinierungsstelle)</w:t>
      </w:r>
      <w:bookmarkEnd w:id="15"/>
    </w:p>
    <w:p w:rsidR="00C75D24" w:rsidRDefault="00C75D24" w:rsidP="00FF782F">
      <w:pPr>
        <w:spacing w:before="240" w:after="240" w:line="360" w:lineRule="auto"/>
      </w:pPr>
      <w:r>
        <w:t xml:space="preserve">Da die Umsetzung der genannten Gesetzesziele als gesamtgesellschaftliche Aufgabe gesehen wird, die alle Träger öffentlicher Belange gleichermaßen verpflichtet, erscheint </w:t>
      </w:r>
      <w:r w:rsidR="00350512">
        <w:t xml:space="preserve"> sinnvoll, dass im vorliegenden Gesetzentwurf von einem für den Bereich der Politik für Menschen mit B</w:t>
      </w:r>
      <w:r w:rsidR="00350512">
        <w:t>e</w:t>
      </w:r>
      <w:r w:rsidR="00350512">
        <w:t>hinderung federführend zuständigen Ministerium gesprochen wird.</w:t>
      </w:r>
    </w:p>
    <w:p w:rsidR="00ED76EC" w:rsidRDefault="005546C6" w:rsidP="00FF782F">
      <w:pPr>
        <w:spacing w:before="240" w:after="240" w:line="360" w:lineRule="auto"/>
      </w:pPr>
      <w:r>
        <w:t>Unabhängig davon erscheint es dringend geboten</w:t>
      </w:r>
      <w:r w:rsidR="00C75D24">
        <w:t>, die Kompetenz- und Koordinierungsstelle in der Staatskanzlei und damit nicht nur an zentraler Stelle, sondern auch in einer gegenüber den Ministerien übergeordneten Position einzurichten. Damit würden Konflikte zwischen den beteiligten Ministerienvermieden.</w:t>
      </w:r>
      <w:r>
        <w:t xml:space="preserve"> </w:t>
      </w:r>
      <w:r w:rsidR="00ED76EC">
        <w:t>In den einzelnen Ministerien müssen Kontaktpers</w:t>
      </w:r>
      <w:r w:rsidR="00ED76EC">
        <w:t>o</w:t>
      </w:r>
      <w:r w:rsidR="00ED76EC">
        <w:t>nen benannt werden, die den Prozess der Umsetzung der Konventionsvorgaben koordini</w:t>
      </w:r>
      <w:r w:rsidR="00ED76EC">
        <w:t>e</w:t>
      </w:r>
      <w:r w:rsidR="00ED76EC">
        <w:t>ren. Dieses Aufgabengebiet bezieht sich insbesondere auf die Abstimmung mit anderen M</w:t>
      </w:r>
      <w:r w:rsidR="00ED76EC">
        <w:t>i</w:t>
      </w:r>
      <w:r w:rsidR="00ED76EC">
        <w:t>nisterien.</w:t>
      </w:r>
    </w:p>
    <w:p w:rsidR="00C75D24" w:rsidRDefault="00C75D24" w:rsidP="00C75D24">
      <w:pPr>
        <w:pStyle w:val="berschrift2"/>
      </w:pPr>
      <w:bookmarkStart w:id="16" w:name="_Toc435013428"/>
      <w:r>
        <w:t xml:space="preserve">§ </w:t>
      </w:r>
      <w:r w:rsidR="00350512">
        <w:t>9</w:t>
      </w:r>
      <w:r>
        <w:t xml:space="preserve"> (Beteiligung von Menschen mit Behinderungen)</w:t>
      </w:r>
      <w:bookmarkEnd w:id="16"/>
    </w:p>
    <w:p w:rsidR="005546C6" w:rsidRDefault="005546C6" w:rsidP="00FF782F">
      <w:pPr>
        <w:spacing w:before="240" w:after="240" w:line="360" w:lineRule="auto"/>
      </w:pPr>
      <w:r>
        <w:t xml:space="preserve">Diesbezüglich ist </w:t>
      </w:r>
      <w:r w:rsidR="00E23DB3">
        <w:t xml:space="preserve">der Gesetzentwurf </w:t>
      </w:r>
      <w:r>
        <w:t xml:space="preserve">deutlich zu unscharf und keinesfalls ausreichend.. Aus Sicht von Menschen mit Behinderung ist es nicht hinnehmbar, dass die Träger öffentlicher </w:t>
      </w:r>
      <w:r>
        <w:lastRenderedPageBreak/>
        <w:t xml:space="preserve">Belange lediglich gehalten sind, Menschen mit Behinderung oder ihre Organisationen bei den in § </w:t>
      </w:r>
      <w:r w:rsidR="00350512">
        <w:t>9</w:t>
      </w:r>
      <w:r>
        <w:t xml:space="preserve"> Abs. 1 genannten Aktivitäten einzubinden. Vielmehr muss diese Einbeziehung ve</w:t>
      </w:r>
      <w:r>
        <w:t>r</w:t>
      </w:r>
      <w:r>
        <w:t>bindlich und verpflichtend sein. Außerdem muss, ähnlich wie bei einer betrieblichen Mitb</w:t>
      </w:r>
      <w:r>
        <w:t>e</w:t>
      </w:r>
      <w:r>
        <w:t>stimmung im Sinne des kollektiven Arbeitsrechts, sichergestellt werden, dass diese Einbezi</w:t>
      </w:r>
      <w:r>
        <w:t>e</w:t>
      </w:r>
      <w:r>
        <w:t>hung wirksam ist, auch aus diesem Grund ist eine Verpflichtung für eine frühzeitige Einb</w:t>
      </w:r>
      <w:r>
        <w:t>e</w:t>
      </w:r>
      <w:r>
        <w:t>ziehung auszusprechen. Beispielsweise erfordert die Bearbeitung von Unterlagen für behi</w:t>
      </w:r>
      <w:r>
        <w:t>n</w:t>
      </w:r>
      <w:r>
        <w:t>derte Menschen, die diesbezüglich auf eine besondere Form der Bereitstellung angewiesen sind (</w:t>
      </w:r>
      <w:r w:rsidR="00E23DB3">
        <w:t>etwa die</w:t>
      </w:r>
      <w:r>
        <w:t xml:space="preserve"> Ausführung in Brailleschrift) eine längere Bearbeitungszeit. Derartige U</w:t>
      </w:r>
      <w:r>
        <w:t>m</w:t>
      </w:r>
      <w:r>
        <w:t>stände sind zu beachten.</w:t>
      </w:r>
    </w:p>
    <w:p w:rsidR="005E5F9F" w:rsidRDefault="005546C6" w:rsidP="005E5F9F">
      <w:pPr>
        <w:spacing w:before="240" w:after="240" w:line="360" w:lineRule="auto"/>
      </w:pPr>
      <w:r>
        <w:t>Angesichts des besonderen Stellenwerts der Einbeziehung B</w:t>
      </w:r>
      <w:r w:rsidR="00E23DB3">
        <w:t>ehinderter Menschen in die in § </w:t>
      </w:r>
      <w:r w:rsidR="00195512">
        <w:t>9</w:t>
      </w:r>
      <w:r>
        <w:t xml:space="preserve"> Abs. 1 genannten Belange </w:t>
      </w:r>
      <w:r w:rsidR="004863A4">
        <w:t xml:space="preserve">bedarf es einer signifikanten </w:t>
      </w:r>
      <w:r>
        <w:t>Stärkung der Partizipationsrechte</w:t>
      </w:r>
      <w:r w:rsidR="00BD0156">
        <w:t xml:space="preserve"> für diese Bereiche. Denkbar ist eine verbindliche Regelung zur Sicherstellung der wirksamen Mitbestimmung für einzelne Bereiche auch ein Vetorecht zu Gunsten behinderter Menschen umfassen kann.</w:t>
      </w:r>
      <w:r w:rsidR="005E5F9F">
        <w:t xml:space="preserve"> Zur Schaffung der notwendigen kompetenten Strukturen auf Seiten </w:t>
      </w:r>
      <w:r w:rsidR="00D318EE">
        <w:t>behi</w:t>
      </w:r>
      <w:r w:rsidR="00D318EE">
        <w:t>n</w:t>
      </w:r>
      <w:r w:rsidR="00D318EE">
        <w:t>derter Menschen bedarf es einer institutionellen Förderung von entsprechenden Organisat</w:t>
      </w:r>
      <w:r w:rsidR="00D318EE">
        <w:t>i</w:t>
      </w:r>
      <w:r w:rsidR="00D318EE">
        <w:t>onen und Verbänden durch die Landesregierung. Nur dadurch ist die notwendige Kompetenz und Kontinuität für eine zielgerichtete und qualitativ hochwertige politische Arbeit dieser Verbände aufzubauen und zu erhalten. Dies zeigt sich auch im Vergleich zu den heute vo</w:t>
      </w:r>
      <w:r w:rsidR="00D318EE">
        <w:t>r</w:t>
      </w:r>
      <w:r w:rsidR="00D318EE">
        <w:t>herrschenden Projektförderungen, bei denen regelmäßig derartige Strukturen aufgebaut werden un</w:t>
      </w:r>
      <w:r w:rsidR="00BB35A6">
        <w:t>d</w:t>
      </w:r>
      <w:r w:rsidR="00D318EE">
        <w:t xml:space="preserve"> nach Ende der Projektlaufzeit wieder verschwinden.</w:t>
      </w:r>
    </w:p>
    <w:p w:rsidR="00BD0156" w:rsidRDefault="00BD0156" w:rsidP="00BD0156">
      <w:pPr>
        <w:pStyle w:val="berschrift2"/>
      </w:pPr>
      <w:bookmarkStart w:id="17" w:name="_Toc435013429"/>
      <w:r w:rsidRPr="00E15B68">
        <w:t xml:space="preserve">§ </w:t>
      </w:r>
      <w:r w:rsidR="006104BB">
        <w:t>10</w:t>
      </w:r>
      <w:r w:rsidRPr="00E15B68">
        <w:t xml:space="preserve"> (Inklusionsbeirat)</w:t>
      </w:r>
      <w:bookmarkEnd w:id="17"/>
    </w:p>
    <w:p w:rsidR="0081113E" w:rsidRDefault="0081113E" w:rsidP="00FF782F">
      <w:pPr>
        <w:spacing w:before="240" w:after="240" w:line="360" w:lineRule="auto"/>
      </w:pPr>
      <w:r>
        <w:t>Ausdrücklich wird die des Inklusionsbeirats begrüßt. Bezüglich der Zusammensetzung des Inklusionsbeirats, welcher in § 10 Abs. 3 geregelt ist, erscheint es nicht nachvollziehbar, weshalb einerseits nur Verbände und Organisationen auf Landesebene, die die Interessen der Menschen mit Behinderungen vertreten, Mitglied des Inklusionsbeirats sein können, wohingegen bei den Verbänden und Organisationen, die im Bereich der Leistungen und Dienste für Menschen mit Behinderung tätig sind auch solche Mitglied sein können, die l</w:t>
      </w:r>
      <w:r>
        <w:t>e</w:t>
      </w:r>
      <w:r>
        <w:t>diglich auf kommunaler Ebene tätig sind. Eine solche Präferenz zu Gunsten der Leistungse</w:t>
      </w:r>
      <w:r>
        <w:t>r</w:t>
      </w:r>
      <w:r>
        <w:lastRenderedPageBreak/>
        <w:t>bringer erscheint nicht sachgerecht und stellt eine Benachteiligung der Verbände behinde</w:t>
      </w:r>
      <w:r>
        <w:t>r</w:t>
      </w:r>
      <w:r>
        <w:t>ter Menschen dar. Insoweit erscheint es geboten, auch bei der Vertretung von Menschen mit Behinderung kommunale Organisationen und Verbände zuzulassen.</w:t>
      </w:r>
    </w:p>
    <w:p w:rsidR="005D7E52" w:rsidRDefault="005D7E52" w:rsidP="00FF782F">
      <w:pPr>
        <w:spacing w:before="240" w:after="240" w:line="360" w:lineRule="auto"/>
      </w:pPr>
      <w:r>
        <w:t>Zur Bezugnahme auf das Beteiligungsgebot aus § 8 in § 10 Abs. 1 ist darauf hinzuweisen, dass dieses Gebot nunmehr in § 9 geregelt ist, sodass in § 10 Abs. 1 eine entsprechende Ko</w:t>
      </w:r>
      <w:r>
        <w:t>r</w:t>
      </w:r>
      <w:r>
        <w:t>rektur notwendig ist.</w:t>
      </w:r>
    </w:p>
    <w:p w:rsidR="00A15C87" w:rsidRDefault="00A15C87" w:rsidP="009D3615">
      <w:pPr>
        <w:pStyle w:val="berschrift2"/>
      </w:pPr>
      <w:bookmarkStart w:id="18" w:name="_Toc435013430"/>
      <w:r>
        <w:t>§ 1</w:t>
      </w:r>
      <w:r w:rsidR="006D4AB9">
        <w:t>1</w:t>
      </w:r>
      <w:r>
        <w:t xml:space="preserve"> (Monitoringstelle)</w:t>
      </w:r>
      <w:bookmarkEnd w:id="18"/>
    </w:p>
    <w:p w:rsidR="00A15C87" w:rsidRDefault="00263AC0" w:rsidP="00FF782F">
      <w:pPr>
        <w:spacing w:before="240" w:after="240" w:line="360" w:lineRule="auto"/>
      </w:pPr>
      <w:r>
        <w:t xml:space="preserve">Die Einrichtung einer Monitoringstelle für das Land Nordrhein-Westfalen beim Deutschen Institut für Menschenrechte wird ausdrücklich begrüßt. </w:t>
      </w:r>
      <w:r w:rsidR="00BB35A6">
        <w:t>Für die nationale Überwachung e</w:t>
      </w:r>
      <w:r w:rsidR="00BB35A6">
        <w:t>i</w:t>
      </w:r>
      <w:r w:rsidR="00BB35A6">
        <w:t>nes Menschenrechtsvertrages eignet sich keine Institution besser als ein nationales Me</w:t>
      </w:r>
      <w:r w:rsidR="00BB35A6">
        <w:t>n</w:t>
      </w:r>
      <w:r w:rsidR="00BB35A6">
        <w:t>schen</w:t>
      </w:r>
      <w:r w:rsidR="00D64D3F">
        <w:t>r</w:t>
      </w:r>
      <w:r w:rsidR="00BB35A6">
        <w:t>echtsinstitut im Sinne der Genfer Prinzipien.</w:t>
      </w:r>
      <w:r>
        <w:t xml:space="preserve"> Das </w:t>
      </w:r>
      <w:r w:rsidR="00BB35A6">
        <w:t>Deutsche Institut für Menschenrec</w:t>
      </w:r>
      <w:r w:rsidR="00BB35A6">
        <w:t>h</w:t>
      </w:r>
      <w:r w:rsidR="00BB35A6">
        <w:t xml:space="preserve">te </w:t>
      </w:r>
      <w:r>
        <w:t xml:space="preserve"> verfügt unbestritten über die notwendigen Kapazitäten und Kompetenzen, um diesem Anspruch gerecht zu werden. Es bietet zudem die notwendige Unabhängigkeit, um der Fun</w:t>
      </w:r>
      <w:r>
        <w:t>k</w:t>
      </w:r>
      <w:r>
        <w:t>tion einer Monitoringstelle gerecht zu werden.</w:t>
      </w:r>
    </w:p>
    <w:p w:rsidR="00BD0156" w:rsidRDefault="00BD0156" w:rsidP="00BD0156">
      <w:pPr>
        <w:pStyle w:val="berschrift2"/>
      </w:pPr>
      <w:bookmarkStart w:id="19" w:name="_Toc435013431"/>
      <w:r>
        <w:t>§ 1</w:t>
      </w:r>
      <w:r w:rsidR="00263AC0">
        <w:t>2</w:t>
      </w:r>
      <w:r>
        <w:t xml:space="preserve"> (Berichterstattung)</w:t>
      </w:r>
      <w:bookmarkEnd w:id="19"/>
    </w:p>
    <w:p w:rsidR="00BD0156" w:rsidRDefault="00263AC0" w:rsidP="00FF782F">
      <w:pPr>
        <w:spacing w:before="240" w:after="240" w:line="360" w:lineRule="auto"/>
      </w:pPr>
      <w:r>
        <w:t>Die im Gesetz vorgesehene regelmäßige Berichterstattung in einem Rhythmus von fünf Ja</w:t>
      </w:r>
      <w:r>
        <w:t>h</w:t>
      </w:r>
      <w:r>
        <w:t xml:space="preserve">ren </w:t>
      </w:r>
      <w:r w:rsidR="00292D12">
        <w:t>ist kritikwürdig</w:t>
      </w:r>
      <w:r>
        <w:t xml:space="preserve">. Stattdessen wird eine zweijährige Zeitspanne zwischen den einzelnen Berichten </w:t>
      </w:r>
      <w:r w:rsidR="00292D12">
        <w:t>empfohlen</w:t>
      </w:r>
      <w:r>
        <w:t xml:space="preserve">. </w:t>
      </w:r>
    </w:p>
    <w:p w:rsidR="00BD0156" w:rsidRDefault="00BD0156" w:rsidP="00FF782F">
      <w:pPr>
        <w:spacing w:before="240" w:after="240" w:line="360" w:lineRule="auto"/>
      </w:pPr>
      <w:r>
        <w:t>Bei einer zweijährigen Zeitspanne bestünde die Möglichkeit, auch innerhalb einer laufenden Legislaturperiode weitere Schritte zur Umsetzung der UN-BRK und zur Verbesserung der Lebenssituation von Menschen mit Behinderungen einzuleiten und deren Wirksamkeit und Geeignetheit noch vor der nächsten Landtagswahl zu evaluieren und die notwendigen Schlussfolgerungen zu ziehen.</w:t>
      </w:r>
    </w:p>
    <w:p w:rsidR="00BD0156" w:rsidRDefault="00BD0156" w:rsidP="00FF782F">
      <w:pPr>
        <w:spacing w:before="240" w:after="240" w:line="360" w:lineRule="auto"/>
      </w:pPr>
      <w:r>
        <w:t xml:space="preserve">Die fünfjährige Zeitspanne erscheint auch vor dem Hintergrund der hohen Dynamik, die sich aus der Umsetzung der UN-BRK für die Gesellschaftspolitik insgesamt ergibt, erheblich zu lang, da der Bericht der Landesregierung wichtig </w:t>
      </w:r>
      <w:r w:rsidR="00E23DB3">
        <w:t>ist</w:t>
      </w:r>
      <w:r>
        <w:t xml:space="preserve"> für die Evaluierung der Umsetzungsziele und </w:t>
      </w:r>
      <w:r w:rsidR="00E23DB3">
        <w:t>–</w:t>
      </w:r>
      <w:r>
        <w:t>erfolge</w:t>
      </w:r>
      <w:r w:rsidR="00E23DB3">
        <w:t>, aber auch der Misserfolge</w:t>
      </w:r>
      <w:r>
        <w:t>.</w:t>
      </w:r>
    </w:p>
    <w:p w:rsidR="005120EC" w:rsidRDefault="005120EC" w:rsidP="005120EC">
      <w:pPr>
        <w:pStyle w:val="berschrift2"/>
      </w:pPr>
      <w:bookmarkStart w:id="20" w:name="_Toc435013432"/>
      <w:r>
        <w:lastRenderedPageBreak/>
        <w:t>§ 1</w:t>
      </w:r>
      <w:r w:rsidR="00263AC0">
        <w:t>3</w:t>
      </w:r>
      <w:r>
        <w:t xml:space="preserve"> (Inkrafttreten, Berichtspflicht)</w:t>
      </w:r>
      <w:bookmarkEnd w:id="20"/>
    </w:p>
    <w:p w:rsidR="00510213" w:rsidRDefault="00510213" w:rsidP="00FF782F">
      <w:pPr>
        <w:spacing w:before="240" w:after="240" w:line="360" w:lineRule="auto"/>
      </w:pPr>
      <w:r>
        <w:t>Der in § 13 Abs. 2 vorgesehene Termin des 31. Dezember 2020 zur Berichterstattung gege</w:t>
      </w:r>
      <w:r>
        <w:t>n</w:t>
      </w:r>
      <w:r>
        <w:t>über dem Landtag über die Erfahrungen mit diesem Gesetz ist deutlich zu spät. Notwendig ist eine erste Evaluierung zwei Jahre nach Inkrafttreten des Gesetzes.</w:t>
      </w:r>
    </w:p>
    <w:p w:rsidR="005120EC" w:rsidRDefault="005120EC" w:rsidP="005120EC">
      <w:pPr>
        <w:pStyle w:val="berschrift1"/>
      </w:pPr>
      <w:bookmarkStart w:id="21" w:name="_Toc435013433"/>
      <w:r>
        <w:t>Anmerkungen zu Art. 2: Änderung des Behindertengleichstellungsgesetzes Nordrhein-Westfalen</w:t>
      </w:r>
      <w:bookmarkEnd w:id="21"/>
    </w:p>
    <w:p w:rsidR="005120EC" w:rsidRDefault="005120EC" w:rsidP="005120EC">
      <w:pPr>
        <w:pStyle w:val="berschrift2"/>
      </w:pPr>
      <w:bookmarkStart w:id="22" w:name="_Toc435013434"/>
      <w:r>
        <w:t>§ 1 (Ziel des Gesetzes, Geltungsbereich)</w:t>
      </w:r>
      <w:bookmarkEnd w:id="22"/>
    </w:p>
    <w:p w:rsidR="005120EC" w:rsidRDefault="005D7E52" w:rsidP="00FF782F">
      <w:pPr>
        <w:spacing w:before="240" w:after="240" w:line="360" w:lineRule="auto"/>
      </w:pPr>
      <w:r>
        <w:t xml:space="preserve">Ausdrücklich begrüßt wird </w:t>
      </w:r>
      <w:r w:rsidR="005120EC">
        <w:t xml:space="preserve">die Zielsetzung des Gesetzes, Menschen mit Behinderungen die volle, wirksame </w:t>
      </w:r>
      <w:r>
        <w:t xml:space="preserve">und </w:t>
      </w:r>
      <w:r w:rsidR="005120EC">
        <w:t>gleichberechtigte Teilhabe zu gewährleisten. Damit werden zentrale Vorgaben der UN-BRK aufgegriffen, was bislang in Deutschland nur sehr selten der Fall ist.</w:t>
      </w:r>
    </w:p>
    <w:p w:rsidR="005120EC" w:rsidRDefault="005120EC" w:rsidP="00FF782F">
      <w:pPr>
        <w:spacing w:before="240" w:after="240" w:line="360" w:lineRule="auto"/>
      </w:pPr>
      <w:r>
        <w:t>Der Entwurfstext suggeriert allerdings, dass die Gewährleistung dieser Teilhabe im oben b</w:t>
      </w:r>
      <w:r>
        <w:t>e</w:t>
      </w:r>
      <w:r>
        <w:t>schriebenen Sinne allein durch die Beseitigung von Barrieren und die Herstellung von Z</w:t>
      </w:r>
      <w:r>
        <w:t>u</w:t>
      </w:r>
      <w:r>
        <w:t>gänglichkeit erreicht werden kann. Dieser Auffassung ist zu widersprechen. Zunächst ist d</w:t>
      </w:r>
      <w:r>
        <w:t>a</w:t>
      </w:r>
      <w:r>
        <w:t xml:space="preserve">rauf hinzuweisen, dass allein die Gewährleistung einer Zugänglichkeit nicht als Herstellung von Barrierefreiheit insgesamt angesehen werden kann. </w:t>
      </w:r>
      <w:r w:rsidR="005D7E52">
        <w:t xml:space="preserve">Es </w:t>
      </w:r>
      <w:r>
        <w:t>kann nur dann von einer Barri</w:t>
      </w:r>
      <w:r>
        <w:t>e</w:t>
      </w:r>
      <w:r>
        <w:t xml:space="preserve">refreiheit gesprochen werden, wenn neben der Zugänglichkeit auch die Auffindbarkeit und Nutzbarkeit der jeweiligen Lebensbereiche gewährleistet </w:t>
      </w:r>
      <w:r w:rsidR="00E23DB3">
        <w:t>sind</w:t>
      </w:r>
      <w:r>
        <w:t>.</w:t>
      </w:r>
      <w:r w:rsidR="005D7E52">
        <w:t xml:space="preserve"> Daher wird auch die Aufna</w:t>
      </w:r>
      <w:r w:rsidR="005D7E52">
        <w:t>h</w:t>
      </w:r>
      <w:r w:rsidR="005D7E52">
        <w:t>me dieser Kriterien in in die Vorschrift des § 1 Abs. 1 als dringend notwendig angesehen.</w:t>
      </w:r>
    </w:p>
    <w:p w:rsidR="00035471" w:rsidRDefault="00035471" w:rsidP="00FF782F">
      <w:pPr>
        <w:spacing w:before="240" w:after="240" w:line="360" w:lineRule="auto"/>
      </w:pPr>
      <w:r>
        <w:t xml:space="preserve">Positiv ist die Verpflichtung der Träger öffentlicher Belange zu bewerten, sich aktiv </w:t>
      </w:r>
      <w:r w:rsidR="00E23DB3">
        <w:t>für die Ziele</w:t>
      </w:r>
      <w:r>
        <w:t xml:space="preserve"> dieses Gesetzes einzusetzen. Nicht nachvollziehbar ist im weiteren Verlauf des § 1 Abs. 3 allerdings, dass sie lediglich mit den Organisationen und Verbänden von Menschen mit Behinderungen eng zusammenarbeiten sollen. Auch wenn eine Sollvorschrift deutlich stä</w:t>
      </w:r>
      <w:r>
        <w:t>r</w:t>
      </w:r>
      <w:r>
        <w:t>ker eine bestimmte Handlungsweise vorgibt als eine bloße Kannvorschrift, so erscheint de</w:t>
      </w:r>
      <w:r>
        <w:t>n</w:t>
      </w:r>
      <w:r>
        <w:t xml:space="preserve">noch die Sollvorschrift </w:t>
      </w:r>
      <w:r w:rsidR="00E23DB3">
        <w:t xml:space="preserve">als </w:t>
      </w:r>
      <w:r>
        <w:t xml:space="preserve">zu schwach ausgeprägt </w:t>
      </w:r>
      <w:r w:rsidR="00181AFC">
        <w:t>sollte dringend</w:t>
      </w:r>
      <w:r>
        <w:t xml:space="preserve"> durch eine verbindliche Mussvorschrift ersetzt werden. Bereits die Vorgabe einer engen Zusammenarbeit ist sehr eng und allgemein gehalten, hier ist es nicht zielführend, diese unscharfe Vorgabe </w:t>
      </w:r>
      <w:r w:rsidR="00E23DB3">
        <w:t xml:space="preserve">zusätzlich </w:t>
      </w:r>
      <w:r>
        <w:t>durch eine bloße Sollvorschrift abzuschwächen.</w:t>
      </w:r>
    </w:p>
    <w:p w:rsidR="00035471" w:rsidRDefault="00035471" w:rsidP="00FF782F">
      <w:pPr>
        <w:spacing w:before="240" w:after="240" w:line="360" w:lineRule="auto"/>
      </w:pPr>
      <w:r>
        <w:lastRenderedPageBreak/>
        <w:t>Generell gilt, dass in den weiteren Absätzen des § 1 die Verpflichtung zur Beachtung der Zi</w:t>
      </w:r>
      <w:r>
        <w:t>e</w:t>
      </w:r>
      <w:r>
        <w:t>le des Gesetzes strikter</w:t>
      </w:r>
      <w:r w:rsidR="00D50C06">
        <w:t xml:space="preserve"> und verbindlicher </w:t>
      </w:r>
      <w:r>
        <w:t>formuliert werden muss.</w:t>
      </w:r>
    </w:p>
    <w:p w:rsidR="00035471" w:rsidRPr="00A377B1" w:rsidRDefault="00035471" w:rsidP="00FF782F">
      <w:pPr>
        <w:spacing w:before="240" w:after="240" w:line="360" w:lineRule="auto"/>
      </w:pPr>
      <w:r>
        <w:t>Dementsprechend ist in § 1 Abs. 4 zu formulieren, dass die Träger öffentlicher Belange g</w:t>
      </w:r>
      <w:r>
        <w:t>e</w:t>
      </w:r>
      <w:r>
        <w:t xml:space="preserve">genüber Dritten, die Aufgaben wahrnehmen oder Angebote bereitstellen, sicherstellen, dass die Ziele des Gesetzes beachtet werden. Eine bloße Verpflichtung, hierauf aktiv hinzuwirken, reicht nicht aus. Die angesprochenen Träger öffentlicher Belange müssen diesem Anliegen bereits bei der Auswahl der Dritten gerecht werden. Dies gilt auch bei Zuwendungen und sonstigen Leistungen durch die </w:t>
      </w:r>
      <w:r w:rsidRPr="00A377B1">
        <w:t>Träger öffentlicher Belange.</w:t>
      </w:r>
    </w:p>
    <w:p w:rsidR="00035471" w:rsidRPr="00A377B1" w:rsidRDefault="00035471" w:rsidP="00035471">
      <w:pPr>
        <w:pStyle w:val="berschrift2"/>
      </w:pPr>
      <w:bookmarkStart w:id="23" w:name="_Toc435013435"/>
      <w:r w:rsidRPr="00A377B1">
        <w:t>§ 2 (Diskriminierung)</w:t>
      </w:r>
      <w:bookmarkEnd w:id="23"/>
    </w:p>
    <w:p w:rsidR="00163489" w:rsidRDefault="005D7E52" w:rsidP="00FF782F">
      <w:pPr>
        <w:spacing w:before="240" w:after="240" w:line="360" w:lineRule="auto"/>
      </w:pPr>
      <w:r w:rsidRPr="00A377B1">
        <w:t>In § 2 Abs. 1 entfällt gegenüber dem ursprünglichen Gesetzentwurf in lobenswerterweise die Möglichkeit der Rechtfertigung über zwingende Gründe.</w:t>
      </w:r>
      <w:r w:rsidR="00FC6492" w:rsidRPr="00A377B1">
        <w:t xml:space="preserve"> Allerdings werden zwingende Gründe in § 2 Abs. 2 S. 2 wieder aufgegriffen und als Rechtfertigungsgrund dargestellt. Die Beschränkung einer Rechtfertigung über zwingende Gründe nur im Ausnahmefall stellt </w:t>
      </w:r>
      <w:r w:rsidR="00292D12" w:rsidRPr="00A377B1">
        <w:t>alle</w:t>
      </w:r>
      <w:r w:rsidR="00292D12" w:rsidRPr="00A377B1">
        <w:t>r</w:t>
      </w:r>
      <w:r w:rsidR="00292D12" w:rsidRPr="00A377B1">
        <w:t xml:space="preserve">dings </w:t>
      </w:r>
      <w:r w:rsidR="00FC6492" w:rsidRPr="00A377B1">
        <w:t xml:space="preserve">gegenüber der ursprünglichen Entwurfsfassung eine Verbesserung dar. </w:t>
      </w:r>
      <w:r w:rsidR="00163489" w:rsidRPr="00A377B1">
        <w:t>Sehr zu begr</w:t>
      </w:r>
      <w:r w:rsidR="00163489" w:rsidRPr="00A377B1">
        <w:t>ü</w:t>
      </w:r>
      <w:r w:rsidR="00163489" w:rsidRPr="00A377B1">
        <w:t>ßen ist bei der Definition von Diskriminierung im Sinne dieses Gesetzes die Aufnahme des Tatbestands der Belästigung in den Diskriminierungsbegriff</w:t>
      </w:r>
      <w:r w:rsidRPr="00A377B1">
        <w:t xml:space="preserve"> (§ 2 Abs. 3)</w:t>
      </w:r>
      <w:r w:rsidR="00163489" w:rsidRPr="00A377B1">
        <w:t>. Ebenso zu begrüßen sind die Regelungen zur Beweislastumkehr im Sinne des Allgemeinen Gleichbehandlungsg</w:t>
      </w:r>
      <w:r w:rsidR="00163489" w:rsidRPr="00A377B1">
        <w:t>e</w:t>
      </w:r>
      <w:r w:rsidR="00163489" w:rsidRPr="00A377B1">
        <w:t>setzes (AGG). Der Tatbestand der Belästigung als Diskriminierung ist ebenfalls dem AGG en</w:t>
      </w:r>
      <w:r w:rsidR="00163489" w:rsidRPr="00A377B1">
        <w:t>t</w:t>
      </w:r>
      <w:r w:rsidR="00163489" w:rsidRPr="00A377B1">
        <w:t>nommen. Es ist daher eine deutliche Angleichung des Diskriminierungsbegriffes an die Vo</w:t>
      </w:r>
      <w:r w:rsidR="00163489" w:rsidRPr="00A377B1">
        <w:t>r</w:t>
      </w:r>
      <w:r w:rsidR="00163489">
        <w:t>gaben des AGG festzustellen, was begrüßt wird.</w:t>
      </w:r>
    </w:p>
    <w:p w:rsidR="00163489" w:rsidRDefault="00163489" w:rsidP="00FF782F">
      <w:pPr>
        <w:spacing w:before="240" w:after="240" w:line="360" w:lineRule="auto"/>
      </w:pPr>
      <w:r>
        <w:t>Andererseits ist dieser Angleichung nicht konsequent umgesetzt, denn das AGG bezieht se</w:t>
      </w:r>
      <w:r>
        <w:t>i</w:t>
      </w:r>
      <w:r>
        <w:t>ne ohnehin nicht sehr hohe Durchsetzungskraft aus den darin enthaltenen Ansprüchen auf Schadenersatz oder Entschädigung. Daher wäre es nur konsequent gewesen, derartige A</w:t>
      </w:r>
      <w:r>
        <w:t>n</w:t>
      </w:r>
      <w:r>
        <w:t>sprüche auch im BGG vorzusehen, damit die verpflichteten Träger öffentlicher Belange e</w:t>
      </w:r>
      <w:r>
        <w:t>i</w:t>
      </w:r>
      <w:r>
        <w:t xml:space="preserve">nem deutlich höheren Druck ausgesetzt wären, Diskriminierungen im Sinne dieses Gesetzes zu unterlassen bzw. zu verhindern. Die Notwendigkeit von Ansprüchen auf Schadensersatz bzw. Entschädigung ergibt sich auch daraus, dass Träger öffentlicher Belange in der Regel sowohl öffentlich-rechtlich als auch privatrechtlich agieren. Ein Träger öffentlicher Belange </w:t>
      </w:r>
      <w:r>
        <w:lastRenderedPageBreak/>
        <w:t>muss beispielsweise bei der Auswahl von Bewerberinnen und Bewerbern für bei ihm zu b</w:t>
      </w:r>
      <w:r>
        <w:t>e</w:t>
      </w:r>
      <w:r>
        <w:t>setzende Arbeitsstellen die Bestimmungen des AGG einhalten, bei einem Zuwiderhandeln ist er Ansprüchen auf Schadenersatz oder Entschädigung ausgesetzt. Es ist nicht nachvollzie</w:t>
      </w:r>
      <w:r>
        <w:t>h</w:t>
      </w:r>
      <w:r>
        <w:t>bar, weshalb derselbe Träger bei der Wahrnehmung öffentlicher Aufgaben zwar in gleicher Weise Diskriminierungen zu unterlassen hat, jedoch für den Fall eines Zuwiderhandeln</w:t>
      </w:r>
      <w:r w:rsidR="006C7F3D">
        <w:t>s</w:t>
      </w:r>
      <w:r>
        <w:t xml:space="preserve"> ke</w:t>
      </w:r>
      <w:r>
        <w:t>i</w:t>
      </w:r>
      <w:r>
        <w:t>ne Sanktionen im oben genannten Sinne zu befürchten hätte.</w:t>
      </w:r>
    </w:p>
    <w:p w:rsidR="00A60BBE" w:rsidRDefault="00163489" w:rsidP="00FF782F">
      <w:pPr>
        <w:spacing w:before="240" w:after="240" w:line="360" w:lineRule="auto"/>
      </w:pPr>
      <w:r>
        <w:t>Des Weiteren ist § 2 Abs. 1 eine Änderung in dem Sinne notwendig, dass niemand</w:t>
      </w:r>
      <w:r w:rsidR="00A60BBE">
        <w:t xml:space="preserve"> aufgrund oder infolge </w:t>
      </w:r>
      <w:r>
        <w:t>einer Behinderung</w:t>
      </w:r>
      <w:r w:rsidR="00A60BBE">
        <w:t xml:space="preserve"> diskriminiert werden darf. Hierbei muss es sich nicht zwang</w:t>
      </w:r>
      <w:r w:rsidR="00A60BBE">
        <w:t>s</w:t>
      </w:r>
      <w:r w:rsidR="00A60BBE">
        <w:t>läufig um eine eigene Behinderung des Betroffenen handeln, dies entspricht auch dem Ve</w:t>
      </w:r>
      <w:r w:rsidR="00A60BBE">
        <w:t>r</w:t>
      </w:r>
      <w:r w:rsidR="00A60BBE">
        <w:t>ständnis der UN-BRK.</w:t>
      </w:r>
      <w:r w:rsidR="00D318EE">
        <w:t xml:space="preserve"> </w:t>
      </w:r>
    </w:p>
    <w:p w:rsidR="00D318EE" w:rsidRDefault="00D318EE" w:rsidP="00FF782F">
      <w:pPr>
        <w:spacing w:before="240" w:after="240" w:line="360" w:lineRule="auto"/>
      </w:pPr>
      <w:r>
        <w:t xml:space="preserve">Die moderne </w:t>
      </w:r>
      <w:r w:rsidRPr="00D318EE">
        <w:t>Antidiskriminierungsgesetzgebung</w:t>
      </w:r>
      <w:r>
        <w:t xml:space="preserve"> verbietet </w:t>
      </w:r>
      <w:r w:rsidRPr="00D318EE">
        <w:t xml:space="preserve">auch die Diskriminierung </w:t>
      </w:r>
      <w:r>
        <w:t>wegen vergangener, zukünftiger oder angedichteter Behinderung, aber auch wegen einer Behind</w:t>
      </w:r>
      <w:r>
        <w:t>e</w:t>
      </w:r>
      <w:r>
        <w:t>rung eines Angehörigen. Dieser Gedanke ist in dem Gesetzentwurf zu übernehmen, da von einer Diskriminierung aufgrund oder infolge einer Behinderung mehr Menschen betroffen sind als von einer Behinderung selbst.</w:t>
      </w:r>
    </w:p>
    <w:p w:rsidR="00D318EE" w:rsidRDefault="00D318EE" w:rsidP="00FF782F">
      <w:pPr>
        <w:spacing w:before="240" w:after="240" w:line="360" w:lineRule="auto"/>
      </w:pPr>
      <w:r>
        <w:t>Zudem fehlt ein Verweis auf mehrfacher oder intersektionale Diskriminierung, von der b</w:t>
      </w:r>
      <w:r>
        <w:t>e</w:t>
      </w:r>
      <w:r>
        <w:t>hinderte Frauen oder behinderte Menschen mit Migrationshintergrund in besonderem M</w:t>
      </w:r>
      <w:r>
        <w:t>a</w:t>
      </w:r>
      <w:r>
        <w:t>ße betroffen sind.</w:t>
      </w:r>
    </w:p>
    <w:p w:rsidR="00A60BBE" w:rsidRDefault="00A60BBE" w:rsidP="00A60BBE">
      <w:pPr>
        <w:pStyle w:val="berschrift2"/>
      </w:pPr>
      <w:bookmarkStart w:id="24" w:name="_Toc435013436"/>
      <w:r>
        <w:t>§ 3 (Angemessene Vorkehrungen)</w:t>
      </w:r>
      <w:bookmarkEnd w:id="24"/>
    </w:p>
    <w:p w:rsidR="00FC6492" w:rsidRDefault="00A60BBE" w:rsidP="00FF782F">
      <w:pPr>
        <w:spacing w:before="240" w:after="240" w:line="360" w:lineRule="auto"/>
      </w:pPr>
      <w:r>
        <w:t>Erfreulicherweise wird auch die Vorenthaltung angemessener Vorkehrungen im vorliege</w:t>
      </w:r>
      <w:r>
        <w:t>n</w:t>
      </w:r>
      <w:r>
        <w:t>den Gesetzentwurf als Diskriminierung im Sinne des BGG NRW angesehen. Auch hier werden die Sichtweise und die Begrifflichkeit der UN-BRK übernommen. Mit der Erweiterung des Diskriminierungsbegriffs in diesem Sinne wird Neuland in der Gesetzgebung zum Schutz vor Diskriminierung und Benachteiligung in Deutschland beschritten, was als besonders loben</w:t>
      </w:r>
      <w:r>
        <w:t>s</w:t>
      </w:r>
      <w:r>
        <w:t>wert hervorzuheben ist.</w:t>
      </w:r>
    </w:p>
    <w:p w:rsidR="00D318EE" w:rsidRDefault="00D318EE" w:rsidP="00FF6927">
      <w:pPr>
        <w:spacing w:before="240" w:after="240" w:line="360" w:lineRule="auto"/>
      </w:pPr>
      <w:r>
        <w:t>Allerdings muss die Definition in § 2 IGG aufgenommen werden, da ansonsten erfahrung</w:t>
      </w:r>
      <w:r>
        <w:t>s</w:t>
      </w:r>
      <w:r>
        <w:t>gemäß häufig Missverständnisse zu der Frage auftreten</w:t>
      </w:r>
      <w:r w:rsidR="00FF6927">
        <w:t xml:space="preserve">, ob die Verweigerung angemessener </w:t>
      </w:r>
      <w:r w:rsidR="00FF6927">
        <w:lastRenderedPageBreak/>
        <w:t>Vorkehrungen den Tatbestand der Diskriminierung erfüllt. Insoweit sei auf die Erfahrungen im Zusammenhang mit der EU-Rahmenrichtlinie zur Gleichbehandlung in Beschäftigung und Beruf</w:t>
      </w:r>
      <w:r w:rsidR="00FF6927">
        <w:rPr>
          <w:rStyle w:val="Funotenzeichen"/>
        </w:rPr>
        <w:footnoteReference w:id="8"/>
      </w:r>
      <w:r w:rsidR="00FF6927">
        <w:t xml:space="preserve"> verwiesen.</w:t>
      </w:r>
    </w:p>
    <w:p w:rsidR="00FC6492" w:rsidRDefault="00FC6492" w:rsidP="00FF6927">
      <w:pPr>
        <w:spacing w:before="240" w:after="240" w:line="360" w:lineRule="auto"/>
      </w:pPr>
      <w:r>
        <w:t>§ 3 definiert angemessener Vorkehrungen als notwendiger und geeignete Änderungen und Anpassungen, die keine unverhältnismäßige oder unbillige Belastung darstellen und die, wenn sie in einem bestimmten Fall erforderlich sind, vorgenommen werden, um zu gewäh</w:t>
      </w:r>
      <w:r>
        <w:t>r</w:t>
      </w:r>
      <w:r>
        <w:t xml:space="preserve">leisten, dass Mensch mit Behinderungen gleichberechtigt mit anderen teilhaben und ihre Menschenrechte und Grundfreiheiten ausüben können. Diese Formulierung erweckt den Eindruck, dass es sich um Korrekturen bestehender Verhältnisse handelt. Notwendig ist aber ein Verständnis in dem Sinne, dass dies auch konkrete </w:t>
      </w:r>
      <w:r w:rsidR="00B726BD">
        <w:t>subjektive Rechte beinhaltet</w:t>
      </w:r>
      <w:r>
        <w:t xml:space="preserve">. Auch hier wird wiederum deutlich, wie wichtig individuelle </w:t>
      </w:r>
      <w:r w:rsidR="00B726BD">
        <w:t xml:space="preserve">Rechte </w:t>
      </w:r>
      <w:r>
        <w:t>aus diesem Gesetz für die B</w:t>
      </w:r>
      <w:r>
        <w:t>e</w:t>
      </w:r>
      <w:r>
        <w:t>troffenen wären. Leider hat sich der Gesetzgeber dieser Notwendigkeit bislang verschlossen.</w:t>
      </w:r>
    </w:p>
    <w:p w:rsidR="00201EF4" w:rsidRDefault="00201EF4" w:rsidP="00201EF4">
      <w:pPr>
        <w:pStyle w:val="berschrift2"/>
      </w:pPr>
      <w:bookmarkStart w:id="25" w:name="_Toc435013437"/>
      <w:r>
        <w:t>§ 4 (Barrierefreiheit)</w:t>
      </w:r>
      <w:bookmarkEnd w:id="25"/>
    </w:p>
    <w:p w:rsidR="00201EF4" w:rsidRDefault="00FC6492" w:rsidP="00FF782F">
      <w:pPr>
        <w:spacing w:before="240" w:after="240" w:line="360" w:lineRule="auto"/>
      </w:pPr>
      <w:r>
        <w:t xml:space="preserve">Positiv ist anzumerken, </w:t>
      </w:r>
      <w:r w:rsidR="00201EF4">
        <w:t>, dass der bisherige Begriff der Barrierefreiheit aus dem BGG NRW dahin gehend weiterentwickelt wurde, dass nunmehr die Auffindbarkeit, Zugänglichkeit und Nutzbarkeit in den Begriff integriert wurden. In diesem Zusammenhang wäre es im Sinne der Vereinheitlichung dringend geboten, diese drei Bestandteile umfassend auch in anderen spezifischen Vorschriften festzuhalten oder an anderen Stellen anstelle einer eigenen Defin</w:t>
      </w:r>
      <w:r w:rsidR="00201EF4">
        <w:t>i</w:t>
      </w:r>
      <w:r w:rsidR="00201EF4">
        <w:t>tion von Barrierefreiheit auf § 4 des vorliegenden Gesetzentwurfs zum BGG NRW zu verwe</w:t>
      </w:r>
      <w:r w:rsidR="00201EF4">
        <w:t>i</w:t>
      </w:r>
      <w:r w:rsidR="00201EF4">
        <w:t>sen.</w:t>
      </w:r>
    </w:p>
    <w:p w:rsidR="00201EF4" w:rsidRDefault="00201EF4" w:rsidP="00FF782F">
      <w:pPr>
        <w:spacing w:before="240" w:after="240" w:line="360" w:lineRule="auto"/>
      </w:pPr>
      <w:r>
        <w:t>In § 4 Abs. 3 erscheint die bloße Sollvorgabe als zu schwach, hier ist von einer Unterstü</w:t>
      </w:r>
      <w:r>
        <w:t>t</w:t>
      </w:r>
      <w:r>
        <w:t>zungspflicht der Landesregierung auszugehen.</w:t>
      </w:r>
    </w:p>
    <w:p w:rsidR="00201EF4" w:rsidRDefault="00201EF4" w:rsidP="00201EF4">
      <w:pPr>
        <w:pStyle w:val="berschrift2"/>
      </w:pPr>
      <w:bookmarkStart w:id="26" w:name="_Toc435013438"/>
      <w:r>
        <w:t>§ 5 (Zielvereinbarungen)</w:t>
      </w:r>
      <w:bookmarkEnd w:id="26"/>
    </w:p>
    <w:p w:rsidR="00B64FD0" w:rsidRDefault="00201EF4" w:rsidP="00FF782F">
      <w:pPr>
        <w:spacing w:before="240" w:after="240" w:line="360" w:lineRule="auto"/>
      </w:pPr>
      <w:r>
        <w:t>Das Instrument der Zielvereinbarung hat in der Vergangenheit nur wenig Anklang und pra</w:t>
      </w:r>
      <w:r>
        <w:t>k</w:t>
      </w:r>
      <w:r>
        <w:t xml:space="preserve">tische Relevanz finden können. Dieser Umstand darf jedoch nicht darüber hinwegtäuschen, dass mit der Zielvereinbarung </w:t>
      </w:r>
      <w:r w:rsidR="00AA12DE">
        <w:t xml:space="preserve">ein Instrument </w:t>
      </w:r>
      <w:r>
        <w:t xml:space="preserve">geschaffen wurde, um im Dialog und möglichst </w:t>
      </w:r>
      <w:r>
        <w:lastRenderedPageBreak/>
        <w:t>auch im Konsens unter unmittelbarer Beteiligung der Verbände und Organisationen von Menschen mit Behinderungen</w:t>
      </w:r>
      <w:r w:rsidR="00B64FD0">
        <w:t xml:space="preserve"> Veränderungen zu Gunsten dieser Personengruppe herbeiz</w:t>
      </w:r>
      <w:r w:rsidR="00B64FD0">
        <w:t>u</w:t>
      </w:r>
      <w:r w:rsidR="00B64FD0">
        <w:t>führen.</w:t>
      </w:r>
    </w:p>
    <w:p w:rsidR="00D33146" w:rsidRDefault="00B64FD0" w:rsidP="00FF782F">
      <w:pPr>
        <w:spacing w:before="240" w:after="240" w:line="360" w:lineRule="auto"/>
      </w:pPr>
      <w:r>
        <w:t xml:space="preserve">Daher </w:t>
      </w:r>
      <w:r w:rsidR="00B726BD">
        <w:t xml:space="preserve">sollte </w:t>
      </w:r>
      <w:r>
        <w:t>die Idee der Zielvereinbarungen grundsätzlich nicht als gescheitert an</w:t>
      </w:r>
      <w:r w:rsidR="00B726BD">
        <w:t>gesehen werden. S</w:t>
      </w:r>
      <w:r>
        <w:t xml:space="preserve">tattdessen </w:t>
      </w:r>
      <w:r w:rsidR="00B726BD">
        <w:t xml:space="preserve">ist </w:t>
      </w:r>
      <w:r>
        <w:t>eine aktive</w:t>
      </w:r>
      <w:r w:rsidR="00D33146">
        <w:t xml:space="preserve"> Förderung und</w:t>
      </w:r>
      <w:r>
        <w:t xml:space="preserve"> Unterstützung</w:t>
      </w:r>
      <w:r w:rsidR="00D33146">
        <w:t xml:space="preserve"> sowohl des Instruments der Zielvereinbarung an sich</w:t>
      </w:r>
      <w:r w:rsidR="00B726BD">
        <w:t xml:space="preserve"> erforderlich, </w:t>
      </w:r>
      <w:r w:rsidR="00D33146">
        <w:t xml:space="preserve"> als auch der beteiligten Organisationen und Ve</w:t>
      </w:r>
      <w:r w:rsidR="00D33146">
        <w:t>r</w:t>
      </w:r>
      <w:r w:rsidR="00D33146">
        <w:t>bände behinderter Menschen.</w:t>
      </w:r>
    </w:p>
    <w:p w:rsidR="00D33146" w:rsidRDefault="00072876" w:rsidP="00FF782F">
      <w:pPr>
        <w:spacing w:before="240" w:after="240" w:line="360" w:lineRule="auto"/>
      </w:pPr>
      <w:r>
        <w:t xml:space="preserve">Grundsätzlich </w:t>
      </w:r>
      <w:r w:rsidR="00D33146">
        <w:t>sollten Zielvereinbarungen nicht allein zum Abbau von Barrieren möglich sein, sondern auch die Möglichkeit eröffnen, diskriminierende Gegebenheiten zu beseitigen. Hierbei geht es insbesondere um solche Rahmenbedingungen, die möglicherweise (noch) nicht den Tatbestand einer Diskriminierung im Sinne dieses Gesetzes erfüllen, die jedoch von Menschen mit Behinderung als diskriminierend empfunden werden. § 5 Abs. 1 ist demen</w:t>
      </w:r>
      <w:r w:rsidR="00D33146">
        <w:t>t</w:t>
      </w:r>
      <w:r w:rsidR="00D33146">
        <w:t>sprechend wie folgt zu formulieren:</w:t>
      </w:r>
    </w:p>
    <w:p w:rsidR="00D33146" w:rsidRPr="00D33146" w:rsidRDefault="00D33146" w:rsidP="00D33146">
      <w:pPr>
        <w:spacing w:before="240" w:after="240" w:line="360" w:lineRule="auto"/>
        <w:ind w:left="1418" w:hanging="710"/>
        <w:rPr>
          <w:i/>
        </w:rPr>
      </w:pPr>
      <w:r w:rsidRPr="00D33146">
        <w:rPr>
          <w:i/>
        </w:rPr>
        <w:t>(1)</w:t>
      </w:r>
      <w:r w:rsidRPr="00D33146">
        <w:rPr>
          <w:i/>
        </w:rPr>
        <w:tab/>
        <w:t>Zur Herstellung von Barrierefreiheit und zum Abbau von diskriminierenden G</w:t>
      </w:r>
      <w:r w:rsidRPr="00D33146">
        <w:rPr>
          <w:i/>
        </w:rPr>
        <w:t>e</w:t>
      </w:r>
      <w:r w:rsidRPr="00D33146">
        <w:rPr>
          <w:i/>
        </w:rPr>
        <w:t>gebenheiten aufgrund oder infolge einer Behinderung sollen, soweit dem nicht besondere gesetzliche Vorschriften entgegenstehen, Zielvereinbarungen zw</w:t>
      </w:r>
      <w:r w:rsidRPr="00D33146">
        <w:rPr>
          <w:i/>
        </w:rPr>
        <w:t>i</w:t>
      </w:r>
      <w:r w:rsidRPr="00D33146">
        <w:rPr>
          <w:i/>
        </w:rPr>
        <w:t>schen Verbänden von Menschen mit Behinderungen und den Trägern öffentl</w:t>
      </w:r>
      <w:r w:rsidRPr="00D33146">
        <w:rPr>
          <w:i/>
        </w:rPr>
        <w:t>i</w:t>
      </w:r>
      <w:r w:rsidRPr="00D33146">
        <w:rPr>
          <w:i/>
        </w:rPr>
        <w:t>cher Belange für ihren jeweiligen sachlichen und räumlichen Organisations- und Tätigkeitsbereich getroffen werden.</w:t>
      </w:r>
    </w:p>
    <w:p w:rsidR="00D33146" w:rsidRDefault="00D33146" w:rsidP="00D33146">
      <w:pPr>
        <w:spacing w:before="240" w:after="240" w:line="360" w:lineRule="auto"/>
      </w:pPr>
      <w:r>
        <w:t>Die in § 5 Abs. 1 aufgeführten inhaltlichen Vorgaben für Zielvereinbarungen müssen die Möglichkeit eröffnen, auch Regelungen über Sanktionen für den Fall zu treffen, dass die Tr</w:t>
      </w:r>
      <w:r>
        <w:t>ä</w:t>
      </w:r>
      <w:r>
        <w:t>ger öffentlicher Belange ihren Verpflichtungen aus der Zielvereinbarung nicht oder zumi</w:t>
      </w:r>
      <w:r>
        <w:t>n</w:t>
      </w:r>
      <w:r>
        <w:t>dest nicht vollumfänglich oder fristgemäß nachkommen.</w:t>
      </w:r>
    </w:p>
    <w:p w:rsidR="00CD58A6" w:rsidRDefault="00CD58A6" w:rsidP="00D33146">
      <w:pPr>
        <w:spacing w:before="240" w:after="240" w:line="360" w:lineRule="auto"/>
      </w:pPr>
      <w:r>
        <w:t>Erfreulicherweise wurde in § 5 Abs. 2 Nr. 2 auch der Anspruch auf Auffindbarkeit als mögl</w:t>
      </w:r>
      <w:r>
        <w:t>i</w:t>
      </w:r>
      <w:r>
        <w:t>cher Inhalt einer Zielvereinbarung aufgenommen.</w:t>
      </w:r>
    </w:p>
    <w:p w:rsidR="007A4FFB" w:rsidRDefault="00D33146" w:rsidP="00D33146">
      <w:pPr>
        <w:spacing w:before="240" w:after="240" w:line="360" w:lineRule="auto"/>
      </w:pPr>
      <w:r>
        <w:lastRenderedPageBreak/>
        <w:t>Das Recht auf Abbruch der Verhandlungen über den Abschluss einer Zielvereinbarung sollte allein den Menschen mit Behinderung bzw. ihren Verbänden und Organisationen vorbeha</w:t>
      </w:r>
      <w:r>
        <w:t>l</w:t>
      </w:r>
      <w:r>
        <w:t>ten sein, nicht aber den Trägern öffentlicher Belange.</w:t>
      </w:r>
    </w:p>
    <w:p w:rsidR="00D33146" w:rsidRDefault="00CD58A6" w:rsidP="00D33146">
      <w:pPr>
        <w:spacing w:before="240" w:after="240" w:line="360" w:lineRule="auto"/>
      </w:pPr>
      <w:r>
        <w:t xml:space="preserve">Es ist </w:t>
      </w:r>
      <w:r w:rsidR="007A4FFB">
        <w:t xml:space="preserve">nicht nachzuvollziehen, weshalb Landesverbände </w:t>
      </w:r>
      <w:r w:rsidR="00720E75">
        <w:t>einen</w:t>
      </w:r>
      <w:r w:rsidR="007A4FFB">
        <w:t xml:space="preserve"> allgemeinen Vorrang gege</w:t>
      </w:r>
      <w:r w:rsidR="007A4FFB">
        <w:t>n</w:t>
      </w:r>
      <w:r w:rsidR="007A4FFB">
        <w:t>über landesweiten bzw. örtlichen Verbänden von Menschen mit Behinderung die Berecht</w:t>
      </w:r>
      <w:r w:rsidR="007A4FFB">
        <w:t>i</w:t>
      </w:r>
      <w:r w:rsidR="007A4FFB">
        <w:t>gung haben sollen, Zielvereinbarungen auszuhandeln und abzuschließen.</w:t>
      </w:r>
    </w:p>
    <w:p w:rsidR="007A4FFB" w:rsidRDefault="00D33146" w:rsidP="00D33146">
      <w:pPr>
        <w:spacing w:before="240" w:after="240" w:line="360" w:lineRule="auto"/>
      </w:pPr>
      <w:r>
        <w:t>Schließlich ist in § 5 Abs. 5 wiederum von einem federführenden und nicht von einem z</w:t>
      </w:r>
      <w:r>
        <w:t>u</w:t>
      </w:r>
      <w:r>
        <w:t>ständigen Ministerium zu sprechen</w:t>
      </w:r>
      <w:r w:rsidR="00CD58A6">
        <w:t>, was durch den überarbeiteten Gesetzentwurf auch u</w:t>
      </w:r>
      <w:r w:rsidR="00CD58A6">
        <w:t>m</w:t>
      </w:r>
      <w:r w:rsidR="00CD58A6">
        <w:t>gesetzt wird</w:t>
      </w:r>
    </w:p>
    <w:p w:rsidR="007A4FFB" w:rsidRDefault="007A4FFB" w:rsidP="007A4FFB">
      <w:pPr>
        <w:pStyle w:val="berschrift2"/>
      </w:pPr>
      <w:bookmarkStart w:id="27" w:name="_Toc435013439"/>
      <w:r>
        <w:t>§ 6 Abs. 1 S. 1 BGG NRW</w:t>
      </w:r>
      <w:bookmarkEnd w:id="27"/>
    </w:p>
    <w:p w:rsidR="00EE63DA" w:rsidRDefault="004C2BD7" w:rsidP="00D33146">
      <w:pPr>
        <w:spacing w:before="240" w:after="240" w:line="360" w:lineRule="auto"/>
      </w:pPr>
      <w:r>
        <w:t xml:space="preserve">Die Vorschrift des § 6 Abs. 1 S. 1 kann in dem Sinne interpretiert werden, </w:t>
      </w:r>
      <w:r w:rsidR="007A4FFB">
        <w:t>, dass hierüber auch Verpflichtungsklagen möglich sein sollen. Sofern diese Interpretation zutreffend ist, wird die Neuregelung in § 6 Abs. 1 S. 1 ausdrücklich begrüßt.</w:t>
      </w:r>
      <w:r w:rsidR="00EE63DA">
        <w:t xml:space="preserve"> Diese Auslegung ergibt sich aus der Begründung zum Gesetzentwurf, ist jedoch dem eigentlichen Wortlaut des Gesetzen</w:t>
      </w:r>
      <w:r w:rsidR="00EE63DA">
        <w:t>t</w:t>
      </w:r>
      <w:r w:rsidR="00EE63DA">
        <w:t>wurfs nicht mit der notwendigen Eindeutigkeit zu entnehmen. Es wird daher einer entspr</w:t>
      </w:r>
      <w:r w:rsidR="00EE63DA">
        <w:t>e</w:t>
      </w:r>
      <w:r w:rsidR="00EE63DA">
        <w:t>chenden Klarstellung im Gesetzestext bedürfen.</w:t>
      </w:r>
    </w:p>
    <w:p w:rsidR="00EE63DA" w:rsidRDefault="004C2BD7" w:rsidP="00D33146">
      <w:pPr>
        <w:spacing w:before="240" w:after="240" w:line="360" w:lineRule="auto"/>
      </w:pPr>
      <w:r>
        <w:t xml:space="preserve">Darüber hinaus ist die Definition des Kreises </w:t>
      </w:r>
      <w:r w:rsidR="00EE63DA">
        <w:t>der klageberechtigten Verbände kritikwürdig. Es bedarf eines Bundesverbandes oder dessen Landesverbandes, um eine Klage im Sinne dieser Vorschrift erheben zu können.</w:t>
      </w:r>
      <w:r>
        <w:t xml:space="preserve"> Diesbezüglich bedarf es einer Anpassung dergestalt</w:t>
      </w:r>
      <w:r w:rsidR="00EE63DA">
        <w:t>, dass auch Landesverbände, die keinen Oberbau im Sinne eines Bundesverbandes haben, klageb</w:t>
      </w:r>
      <w:r w:rsidR="00EE63DA">
        <w:t>e</w:t>
      </w:r>
      <w:r w:rsidR="00EE63DA">
        <w:t>rechtigt sein müssen.</w:t>
      </w:r>
    </w:p>
    <w:p w:rsidR="00EE63DA" w:rsidRDefault="00EE63DA" w:rsidP="00EE63DA">
      <w:pPr>
        <w:pStyle w:val="berschrift2"/>
      </w:pPr>
      <w:bookmarkStart w:id="28" w:name="_Toc435013440"/>
      <w:r>
        <w:t>§ 6 Abs. 2 S. 3 BGG NRW</w:t>
      </w:r>
      <w:bookmarkEnd w:id="28"/>
    </w:p>
    <w:p w:rsidR="00EE63DA" w:rsidRDefault="00EE63DA" w:rsidP="00D33146">
      <w:pPr>
        <w:spacing w:before="240" w:after="240" w:line="360" w:lineRule="auto"/>
      </w:pPr>
      <w:r>
        <w:t>Zu dieser Vorschrift ist positiv anzumerken, dass es nicht mehr auf die Vielzahl gleich gel</w:t>
      </w:r>
      <w:r>
        <w:t>a</w:t>
      </w:r>
      <w:r>
        <w:t>gerter Fälle ankommt. Dies eröffnet unter anderem die Perspektive, auch bei speziellen Ei</w:t>
      </w:r>
      <w:r>
        <w:t>n</w:t>
      </w:r>
      <w:r>
        <w:t>zelfällen Klage erheben zu können.</w:t>
      </w:r>
    </w:p>
    <w:p w:rsidR="00EE63DA" w:rsidRDefault="00EE63DA" w:rsidP="00EE63DA">
      <w:pPr>
        <w:pStyle w:val="berschrift2"/>
      </w:pPr>
      <w:bookmarkStart w:id="29" w:name="_Toc435013441"/>
      <w:r w:rsidRPr="00522062">
        <w:lastRenderedPageBreak/>
        <w:t>§ 7 (Barrierefreiheit in den Bereichen Anlagen und Verkehr)</w:t>
      </w:r>
      <w:bookmarkEnd w:id="29"/>
    </w:p>
    <w:p w:rsidR="00EE63DA" w:rsidRDefault="00EE63DA" w:rsidP="00D33146">
      <w:pPr>
        <w:spacing w:before="240" w:after="240" w:line="360" w:lineRule="auto"/>
      </w:pPr>
      <w:r>
        <w:t>Im Gegensatz zum derzeitigen BGG NRW fehlt die Verweisung auf die Errichtung oder die wesentliche Änderung</w:t>
      </w:r>
      <w:r w:rsidR="00D64D3F">
        <w:t xml:space="preserve"> von baulichen Anlagen.</w:t>
      </w:r>
    </w:p>
    <w:p w:rsidR="00A846FF" w:rsidRDefault="00EE63DA" w:rsidP="00D33146">
      <w:pPr>
        <w:spacing w:before="240" w:after="240" w:line="360" w:lineRule="auto"/>
      </w:pPr>
      <w:r>
        <w:t>Aufgrund des Verweises auf „geltende Rechtsvorschriften“, die den Maßstab der Barrier</w:t>
      </w:r>
      <w:r>
        <w:t>e</w:t>
      </w:r>
      <w:r>
        <w:t>freiheit vorgeben, greift die Entwurfsfassung bislang ins Leere. Trotz massiver Kritik von Se</w:t>
      </w:r>
      <w:r>
        <w:t>i</w:t>
      </w:r>
      <w:r>
        <w:t>ten der Behindertenorganisationen ist es bislang nicht gelungen, die Landesbauordnung zu modifizieren, dass Barrierefreiheit umfassender und effektiver geschützt wird als in der bi</w:t>
      </w:r>
      <w:r>
        <w:t>s</w:t>
      </w:r>
      <w:r>
        <w:t>lang geltenden Fassung.</w:t>
      </w:r>
      <w:r w:rsidR="00A846FF">
        <w:t xml:space="preserve"> Ohne eine Modifikation der Landesbauordnung ist § 7 BGG NRW praktisch wirkungslos.</w:t>
      </w:r>
    </w:p>
    <w:p w:rsidR="00A846FF" w:rsidRDefault="00A846FF" w:rsidP="00D33146">
      <w:pPr>
        <w:spacing w:before="240" w:after="240" w:line="360" w:lineRule="auto"/>
      </w:pPr>
      <w:r>
        <w:t>Bezüglich § 7 Abs. 2 ist zu kritisieren, dass die Organisationen und Verbände von Menschen mit Behinderung nur dann einzubeziehen sind, wenn Träger öffentlicher Belange in ihrem Zuständigkeitsbereich Pläne zur Sicherstellung oder Herstellung von Barrierefreiheit erste</w:t>
      </w:r>
      <w:r>
        <w:t>l</w:t>
      </w:r>
      <w:r>
        <w:t>len. Offensichtlich geht der Gesetzgeber davon aus, dass derartige Pläne nicht in jedem Fall erstellt werden m</w:t>
      </w:r>
      <w:r w:rsidR="00720E75">
        <w:t>üssen, was zur Folge hat, dass b</w:t>
      </w:r>
      <w:r>
        <w:t>ehinderte Menschen bzw. deren Organis</w:t>
      </w:r>
      <w:r>
        <w:t>a</w:t>
      </w:r>
      <w:r>
        <w:t>tionen nicht in jedem Fall einzubeziehen sind. Insbesondere der Begriff des Plans wird die</w:t>
      </w:r>
      <w:r>
        <w:t>s</w:t>
      </w:r>
      <w:r>
        <w:t>bezüglich erhebliche Fragen auf. Stellt man hierbei auf einen formellen Begriff ab, wie be</w:t>
      </w:r>
      <w:r>
        <w:t>i</w:t>
      </w:r>
      <w:r>
        <w:t>spielsweise bei einem Bebauungsplan, ließe sich diese Vorschrift sehr leicht durch ein Au</w:t>
      </w:r>
      <w:r>
        <w:t>s</w:t>
      </w:r>
      <w:r>
        <w:t>weichen auf andere Vorgehensweisen umgehen. Dies ist zu verhindern. Berücksichtigt man zudem, dass das Thema Barrierefreiheit einen sehr großen Stellenwert hat, muss es auch bei allen Planungen berücksichtigt werden, ähnlich wie Brandschutz. Daher sollte § 7 Abs. 2 d</w:t>
      </w:r>
      <w:r>
        <w:t>a</w:t>
      </w:r>
      <w:r>
        <w:t>hin gehend abgeändert werden, dass Menschen mit Behinderung immer in die Entwic</w:t>
      </w:r>
      <w:r>
        <w:t>k</w:t>
      </w:r>
      <w:r>
        <w:t>lungsarbeit einzubeziehen sind, soweit es um Barrierefreiheit geht. Die Frage eines konkr</w:t>
      </w:r>
      <w:r>
        <w:t>e</w:t>
      </w:r>
      <w:r>
        <w:t>ten Plans sollte hierbei keine Rolle spielen.</w:t>
      </w:r>
    </w:p>
    <w:p w:rsidR="00A846FF" w:rsidRDefault="00A846FF" w:rsidP="00A846FF">
      <w:pPr>
        <w:pStyle w:val="berschrift2"/>
      </w:pPr>
      <w:bookmarkStart w:id="30" w:name="_Toc435013442"/>
      <w:r>
        <w:t>§ 8 (Barrierefreie Kommunikation)</w:t>
      </w:r>
      <w:bookmarkEnd w:id="30"/>
    </w:p>
    <w:p w:rsidR="00DA696D" w:rsidRDefault="00B9776D" w:rsidP="00D33146">
      <w:pPr>
        <w:spacing w:before="240" w:after="240" w:line="360" w:lineRule="auto"/>
      </w:pPr>
      <w:r>
        <w:t>Es wird ausdrücklich begrüßt</w:t>
      </w:r>
      <w:r w:rsidR="00DA696D">
        <w:t xml:space="preserve">, dass </w:t>
      </w:r>
      <w:r w:rsidR="006A6E2C">
        <w:t xml:space="preserve">alle </w:t>
      </w:r>
      <w:r w:rsidR="00DA696D">
        <w:t>Menschen mit Behinderung in den Anwendungsb</w:t>
      </w:r>
      <w:r w:rsidR="00DA696D">
        <w:t>e</w:t>
      </w:r>
      <w:r w:rsidR="00DA696D">
        <w:t xml:space="preserve">reich dieser Vorschrift einbezogen sind und nicht länger auf bestimmte Behinderungsarten abgestellt wird. </w:t>
      </w:r>
      <w:r>
        <w:t xml:space="preserve">Gleiches gilt für </w:t>
      </w:r>
      <w:r w:rsidR="00DA696D">
        <w:t>die Einbeziehung der elterlichen Sorge dem Grunde nach.</w:t>
      </w:r>
    </w:p>
    <w:p w:rsidR="00567AAF" w:rsidRDefault="00567AAF" w:rsidP="00D33146">
      <w:pPr>
        <w:spacing w:before="240" w:after="240" w:line="360" w:lineRule="auto"/>
      </w:pPr>
      <w:r>
        <w:lastRenderedPageBreak/>
        <w:t>Die Unterscheidung zwischen pädagogischen Angelegenheiten, bei denen öffentliche Sch</w:t>
      </w:r>
      <w:r>
        <w:t>u</w:t>
      </w:r>
      <w:r>
        <w:t>len als Einrichtungen des Landes agieren und Angelegenheiten des Schulgebäudes oder der Ausstattung der Schule usw., bei denen diese Schulen als Einrichtungen des zumeist ko</w:t>
      </w:r>
      <w:r>
        <w:t>m</w:t>
      </w:r>
      <w:r>
        <w:t>munalen Schulträgers handeln, wirft die Frage auf, wie diese beiden Bereiche</w:t>
      </w:r>
      <w:r w:rsidR="006A6E2C">
        <w:t xml:space="preserve"> in der Praxis</w:t>
      </w:r>
      <w:r>
        <w:t xml:space="preserve"> voneinander abgegrenzt werden sollen. Abgesehen davon ist nicht praktikabel, Eltern mit Behinderung für den pädagogischen Bereich Kommunikationshilfen anzubieten und sie bei den anderen Angelegenheiten hiervon auszuschließen. Dabei vermag auch der Hinweis auf kommunale Schulträgerschaft in diesen Bereichen nicht zu überzeu</w:t>
      </w:r>
      <w:r w:rsidR="00720E75">
        <w:t>gen, gegebenenfalls müsste hier</w:t>
      </w:r>
      <w:r>
        <w:t>bei eine Kostentragung durch das Land erfolgen.</w:t>
      </w:r>
    </w:p>
    <w:p w:rsidR="00DA696D" w:rsidRDefault="00DA696D" w:rsidP="00D33146">
      <w:pPr>
        <w:spacing w:before="240" w:after="240" w:line="360" w:lineRule="auto"/>
      </w:pPr>
      <w:r>
        <w:t xml:space="preserve">Wie oben bereits zur Frage der Kostendynamik ausgeführt, </w:t>
      </w:r>
      <w:r w:rsidR="004C2BD7">
        <w:t xml:space="preserve">besteht </w:t>
      </w:r>
      <w:r>
        <w:t>jedoch die Gefahr, dass gerade die Aspekte der elterlichen Sorge nur sehr eingeschränkt durchzusetzen sein werden, da bei Erreichen gewisser finanzieller Dimensionen die Konnexitätsgrenze überschritten würde und Leistungsansprüche voraussichtlich entsprechend restriktiv bearbeitet und b</w:t>
      </w:r>
      <w:r>
        <w:t>e</w:t>
      </w:r>
      <w:r>
        <w:t>schieden werden.</w:t>
      </w:r>
      <w:r w:rsidR="004C2BD7">
        <w:t xml:space="preserve"> Abgesehen davon muss der Gedanke einer inklusiven Gestaltung des Schulalltags im Bereich der barrierefreien Kommunikation </w:t>
      </w:r>
      <w:r w:rsidR="00152E2C">
        <w:t>so</w:t>
      </w:r>
      <w:r w:rsidR="004C2BD7">
        <w:t xml:space="preserve"> ausgelegt werden, dass nicht allein Aspekte der elterlichen Sorge im Sinne des § 1626 BGB ein Anspruch auf Kommunik</w:t>
      </w:r>
      <w:r w:rsidR="004C2BD7">
        <w:t>a</w:t>
      </w:r>
      <w:r w:rsidR="004C2BD7">
        <w:t>tionshilfe auslösen, sondern dass dies auch bei deutlich niederschwelligeren Aktivitäten im Schulalltag möglich sein muss. Dies kann beispielsweise auch die Mitwirkung behinderter Eltern bei der Vorbereitung und Durchführung kleinerer schulischer Veranstaltungen wie ein Weihnachtsbasar sein. Damit wird die Möglichkeit eröffnet, dass auch Eltern mit Behind</w:t>
      </w:r>
      <w:r w:rsidR="004C2BD7">
        <w:t>e</w:t>
      </w:r>
      <w:r w:rsidR="004C2BD7">
        <w:t>rung aktive Beiträge zum Klassengeschehen leisten können und sich somit ihre Position i</w:t>
      </w:r>
      <w:r w:rsidR="004C2BD7">
        <w:t>n</w:t>
      </w:r>
      <w:r w:rsidR="004C2BD7">
        <w:t>nerhalb der Elternschaft verbessert. Damit wäre auch dem Gedanken des Art. 8 UN-BRK Rechnung getragen, behinderter Eltern würden auch mit konkreten Beiträgen zum Klasse</w:t>
      </w:r>
      <w:r w:rsidR="004C2BD7">
        <w:t>n</w:t>
      </w:r>
      <w:r w:rsidR="004C2BD7">
        <w:t>alltag wahrgenommen und wertgeschätzt.</w:t>
      </w:r>
    </w:p>
    <w:p w:rsidR="00DA696D" w:rsidRDefault="00152E2C" w:rsidP="00D33146">
      <w:pPr>
        <w:spacing w:before="240" w:after="240" w:line="360" w:lineRule="auto"/>
      </w:pPr>
      <w:r>
        <w:t>I</w:t>
      </w:r>
      <w:r w:rsidR="00DA696D">
        <w:t>nkonsequent erscheint die Einschränkung bezüglich leicht verständliche</w:t>
      </w:r>
      <w:r w:rsidR="00995F01">
        <w:t>r</w:t>
      </w:r>
      <w:r w:rsidR="00DA696D">
        <w:t xml:space="preserve"> Sprache. Hier b</w:t>
      </w:r>
      <w:r w:rsidR="00DA696D">
        <w:t>e</w:t>
      </w:r>
      <w:r w:rsidR="00DA696D">
        <w:t>steht lediglich eine Sollvorgabe für den Träger öffentlicher Belange. Diese Einschränkung ist abzulehnen und durch eine Mussvorschrift zu ersetzen. Die UN-BRK geht von einem gleichen Zugang zum Recht aus, was auch bedeutet, dass man sich auf die im Einzelfall erforderliche Kommunikationsform einzustellen hat. Weshalb man bei Menschen mit geistiger oder kogn</w:t>
      </w:r>
      <w:r w:rsidR="00DA696D">
        <w:t>i</w:t>
      </w:r>
      <w:r w:rsidR="00DA696D">
        <w:lastRenderedPageBreak/>
        <w:t>tiver Beeinträchtigung lediglich eine Sollvorgabe formuliert hat, ist gerade im Vergleich mit Menschen mit anderen Beeinträchtigungen im kommunikativen Bereich nicht nachvollzie</w:t>
      </w:r>
      <w:r w:rsidR="00DA696D">
        <w:t>h</w:t>
      </w:r>
      <w:r w:rsidR="00DA696D">
        <w:t>bar. In der Konsequenz macht es keinen Unterschied, ob der Betroffene einem mündlichen Gespräch aufgrund seiner Gehörlosigkeit nicht folgen oder den Inhalt des Gesprächs au</w:t>
      </w:r>
      <w:r w:rsidR="00DA696D">
        <w:t>f</w:t>
      </w:r>
      <w:r w:rsidR="00DA696D">
        <w:t xml:space="preserve">grund einer kognitiven Beeinträchtigung nicht verstehen kann. In beiden Fällen ist der </w:t>
      </w:r>
      <w:r w:rsidR="00995F01">
        <w:t>b</w:t>
      </w:r>
      <w:r w:rsidR="00DA696D">
        <w:t>e</w:t>
      </w:r>
      <w:r w:rsidR="00DA696D">
        <w:t xml:space="preserve">hinderte Mensch in seiner wirksamen Partizipation </w:t>
      </w:r>
      <w:r>
        <w:t>beeinträchtigt.</w:t>
      </w:r>
    </w:p>
    <w:p w:rsidR="00DA696D" w:rsidRDefault="00DA696D" w:rsidP="00D33146">
      <w:pPr>
        <w:spacing w:before="240" w:after="240" w:line="360" w:lineRule="auto"/>
      </w:pPr>
      <w:r>
        <w:t>Abgesehen davon ist eine verständliche Sprache nicht nur für Menschen mit geistigen oder kognitiven Einschränkungen notwendig oder zumindest sinnvoll. Auch Menschen mit Migr</w:t>
      </w:r>
      <w:r>
        <w:t>a</w:t>
      </w:r>
      <w:r>
        <w:t>tionshintergrund oder aus bildungsferneren Bevölkerungsschichten würden von einer leic</w:t>
      </w:r>
      <w:r>
        <w:t>h</w:t>
      </w:r>
      <w:r>
        <w:t xml:space="preserve">ter verständliche Sprache profitieren. </w:t>
      </w:r>
    </w:p>
    <w:p w:rsidR="00C673FA" w:rsidRDefault="00C673FA" w:rsidP="00D33146">
      <w:pPr>
        <w:spacing w:before="240" w:after="240" w:line="360" w:lineRule="auto"/>
      </w:pPr>
    </w:p>
    <w:p w:rsidR="00734E5E" w:rsidRDefault="00734E5E" w:rsidP="00734E5E">
      <w:pPr>
        <w:pStyle w:val="berschrift2"/>
      </w:pPr>
      <w:bookmarkStart w:id="31" w:name="_Toc435013443"/>
      <w:r>
        <w:t>§ 9 (Gestaltung von Bescheiden, amtlichen Informationen und Vordrucken)</w:t>
      </w:r>
      <w:bookmarkEnd w:id="31"/>
    </w:p>
    <w:p w:rsidR="004648C3" w:rsidRDefault="004648C3" w:rsidP="00D33146">
      <w:pPr>
        <w:spacing w:before="240" w:after="240" w:line="360" w:lineRule="auto"/>
      </w:pPr>
      <w:r>
        <w:t>Gemäß § 9 Abs. 1 haben die Träger öffentlicher Belange bei der Gestaltung von schriftlichen Bescheiden, Allgemeinverfügungen, öffentlich-rechtlichen Verträgen, Vordrucken und amtl</w:t>
      </w:r>
      <w:r>
        <w:t>i</w:t>
      </w:r>
      <w:r>
        <w:t>chen Informationen die besonderen Belange betroffener Menschen mit Behinderungen zu berücksichtigen. Es ist nicht verständlich, was genau unter betroffenen Menschen mit B</w:t>
      </w:r>
      <w:r>
        <w:t>e</w:t>
      </w:r>
      <w:r>
        <w:t>hinderungen zu verstehen ist und wie insoweit eine Abgrenzung erfolgen soll, die wiederum den Kreis der Adressaten einschränkt. Gerade Allgemeinverfügungen, Vordrucke oder amtl</w:t>
      </w:r>
      <w:r>
        <w:t>i</w:t>
      </w:r>
      <w:r>
        <w:t>che Informationen sind nicht an bestimmte Personen, sondern  an die Allgemeinheit geric</w:t>
      </w:r>
      <w:r>
        <w:t>h</w:t>
      </w:r>
      <w:r>
        <w:t>tet. Ein fest definierter Personenkreis an Adressaten existiert nicht. Insofern ist die B</w:t>
      </w:r>
      <w:r>
        <w:t>e</w:t>
      </w:r>
      <w:r>
        <w:t>schränkung auf betroffener Menschen mit Behinderungen zu streichen.</w:t>
      </w:r>
    </w:p>
    <w:p w:rsidR="00F67D3A" w:rsidRDefault="00734E5E" w:rsidP="00D33146">
      <w:pPr>
        <w:spacing w:before="240" w:after="240" w:line="360" w:lineRule="auto"/>
      </w:pPr>
      <w:r>
        <w:t>Die in § 9 Abs. 2 enthaltene Sollvorschrift zur Verwendung einer leicht verständlichen Spr</w:t>
      </w:r>
      <w:r>
        <w:t>a</w:t>
      </w:r>
      <w:r>
        <w:t>che, die zusätzlich noch durch einen Ressourcenvorbehalt eingeschränkt wird, kann nicht hingenommen werden und muss in eine zwingende Vorgabe abgeändert werden. Erfa</w:t>
      </w:r>
      <w:r>
        <w:t>h</w:t>
      </w:r>
      <w:r>
        <w:t>r</w:t>
      </w:r>
      <w:r w:rsidR="003948F4">
        <w:t>ungsgemäß werden Bescheide weit</w:t>
      </w:r>
      <w:r>
        <w:t>gehend über Textbausteine formuliert, selbst bei eing</w:t>
      </w:r>
      <w:r>
        <w:t>e</w:t>
      </w:r>
      <w:r>
        <w:t>räumten Ermessensspielräumen findet man nur selten eine individuell formulierte Ause</w:t>
      </w:r>
      <w:r>
        <w:t>i</w:t>
      </w:r>
      <w:r>
        <w:t xml:space="preserve">nandersetzung mit den Umständen des Einzelfalles. Schon aus diesem Grunde erscheint es </w:t>
      </w:r>
      <w:r>
        <w:lastRenderedPageBreak/>
        <w:t>dringend geboten und praktisch umsetzbar, Textbausteine auch in leicht verständlicher Sprache vorzubereiten, um hiermit die kommunikative Situation zu verbessern. Nicht ausre</w:t>
      </w:r>
      <w:r>
        <w:t>i</w:t>
      </w:r>
      <w:r>
        <w:t>chend ist es auch, lediglich von einem Hinwirken auf den vermehrten Einsatz</w:t>
      </w:r>
      <w:r w:rsidR="00F67D3A">
        <w:t xml:space="preserve"> der leichten Sprache zu sprechen. Bereits das Instrument des Hinwirkens ist sehr unscharf und löst kaum eine Verpflichtung aus. Von einem vermehrten Einsatz der leichten Sprache und damit von einer Erfüllung dieser Vorgabe wäre bereits bei einer nur minimalen Ausweitung des Einsa</w:t>
      </w:r>
      <w:r w:rsidR="00F67D3A">
        <w:t>t</w:t>
      </w:r>
      <w:r w:rsidR="00F67D3A">
        <w:t>zes dieser Sprachform auszugehen, ohne dass hierüber eine nennenswerte Verbesserung der Situation erreicht wäre.</w:t>
      </w:r>
    </w:p>
    <w:p w:rsidR="00DC72B4" w:rsidRDefault="004648C3" w:rsidP="00F67D3A">
      <w:pPr>
        <w:spacing w:before="240" w:after="240" w:line="360" w:lineRule="auto"/>
      </w:pPr>
      <w:r>
        <w:t xml:space="preserve">Zu begrüßen ist der </w:t>
      </w:r>
      <w:r w:rsidR="00F67D3A">
        <w:t>in § 9 Abs. 3 vorgesehenen Anspruch für Menschen mit Hörbehinderung oder Sprachbehinderung auf eine Erstellung der relevanten Dokumente in einer für sie ve</w:t>
      </w:r>
      <w:r w:rsidR="00F67D3A">
        <w:t>r</w:t>
      </w:r>
      <w:r w:rsidR="00F67D3A">
        <w:t>ständlichen Form. Weshalb an dieser Stelle die Bedürfnisse von Menschen mit geistigen oder kognitiven Beeinträchtigungen in Richtung einer leicht verständlichen Sprache nicht berüc</w:t>
      </w:r>
      <w:r w:rsidR="00F67D3A">
        <w:t>k</w:t>
      </w:r>
      <w:r w:rsidR="00F67D3A">
        <w:t>sichtigt werden, ist nicht nachvollziehbar, zumal in § 9 Abs. 1 auf eine Unterscheidung nach verschiedenen Behinderungsarten eigentlich und erfreulicherweise verzichtet wurde.</w:t>
      </w:r>
    </w:p>
    <w:p w:rsidR="00F67D3A" w:rsidRDefault="00152E2C" w:rsidP="00F67D3A">
      <w:pPr>
        <w:spacing w:before="240" w:after="240" w:line="360" w:lineRule="auto"/>
      </w:pPr>
      <w:r>
        <w:t>Es fehlen allerdings</w:t>
      </w:r>
      <w:r w:rsidR="00F67D3A">
        <w:t xml:space="preserve"> Regelungen für taubblinde Menschen.</w:t>
      </w:r>
    </w:p>
    <w:p w:rsidR="00646941" w:rsidRDefault="00646941" w:rsidP="00646941">
      <w:pPr>
        <w:pStyle w:val="berschrift2"/>
      </w:pPr>
      <w:bookmarkStart w:id="32" w:name="_Toc435013444"/>
      <w:r>
        <w:t>§ 10 Abs. 1 BGG NRW</w:t>
      </w:r>
      <w:bookmarkEnd w:id="32"/>
    </w:p>
    <w:p w:rsidR="00646941" w:rsidRDefault="00646941" w:rsidP="00F67D3A">
      <w:pPr>
        <w:spacing w:before="240" w:after="240" w:line="360" w:lineRule="auto"/>
      </w:pPr>
      <w:r>
        <w:t>Bezüglich dieser Vorschrift ist zu kritisieren, dass die Vorgabe einer schrittweisen Umsetzung deutlich zu unscharf ist. Es ist weder ersichtlich, wie groß diese Schritte sein müssen noch in welchen zeitlichen Abständen sie zu unternehmen sind. Abgesehen davon werden bei dera</w:t>
      </w:r>
      <w:r>
        <w:t>r</w:t>
      </w:r>
      <w:r>
        <w:t>tigen Auftritten der Träger öffentlicher Belange häufig CMS-Systeme verwendet, die übe</w:t>
      </w:r>
      <w:r>
        <w:t>r</w:t>
      </w:r>
      <w:r>
        <w:t xml:space="preserve">greifend sehr schnell an neue Anforderungen wie z.B. die Barrierefreiheit angepasst werden können. </w:t>
      </w:r>
    </w:p>
    <w:p w:rsidR="00F67D3A" w:rsidRDefault="00646941" w:rsidP="00646941">
      <w:pPr>
        <w:pStyle w:val="berschrift2"/>
      </w:pPr>
      <w:bookmarkStart w:id="33" w:name="_Toc435013445"/>
      <w:r>
        <w:t>§ 10 Abs. 2 BGG NRW</w:t>
      </w:r>
      <w:bookmarkEnd w:id="33"/>
    </w:p>
    <w:p w:rsidR="006A05F3" w:rsidRPr="006A05F3" w:rsidRDefault="004648C3" w:rsidP="006A05F3">
      <w:pPr>
        <w:spacing w:before="240" w:after="240" w:line="360" w:lineRule="auto"/>
      </w:pPr>
      <w:bookmarkStart w:id="34" w:name="_Toc435013446"/>
      <w:r w:rsidRPr="006A05F3">
        <w:t>In § 10 Abs. 2 wird erfreulicherweise von einer federführenden Zuständigkeit eines Minist</w:t>
      </w:r>
      <w:r w:rsidRPr="006A05F3">
        <w:t>e</w:t>
      </w:r>
      <w:r w:rsidRPr="006A05F3">
        <w:t>riums gesprochen.</w:t>
      </w:r>
    </w:p>
    <w:p w:rsidR="00646941" w:rsidRDefault="00646941" w:rsidP="00646941">
      <w:pPr>
        <w:pStyle w:val="berschrift2"/>
      </w:pPr>
      <w:r>
        <w:lastRenderedPageBreak/>
        <w:t>§ 11 Abs. 1 BGG NRW</w:t>
      </w:r>
      <w:bookmarkEnd w:id="34"/>
    </w:p>
    <w:p w:rsidR="00646941" w:rsidRDefault="00D93BE1" w:rsidP="00F67D3A">
      <w:pPr>
        <w:spacing w:before="240" w:after="240" w:line="360" w:lineRule="auto"/>
      </w:pPr>
      <w:r>
        <w:t>Ausdrücklich</w:t>
      </w:r>
      <w:r w:rsidR="00B9776D">
        <w:t xml:space="preserve"> ist zu begrüßen</w:t>
      </w:r>
      <w:r>
        <w:t xml:space="preserve">, dass bis zur Neuwahl das Amt der beauftragten Person für die Belange von Menschen mit Behinderungen kommissarisch fortgeführt wird. Des </w:t>
      </w:r>
      <w:r w:rsidR="00152E2C">
        <w:t xml:space="preserve">Weiteren </w:t>
      </w:r>
      <w:r>
        <w:t>ist positiv festzuhalten, dass eine Klarstellung bezüglich des Verlangens nach Entlassung</w:t>
      </w:r>
      <w:r w:rsidR="003948F4">
        <w:t xml:space="preserve"> erfolgt</w:t>
      </w:r>
      <w:r>
        <w:t>, welches nur durch die beauftragte Person selbst geäußert werden darf.</w:t>
      </w:r>
    </w:p>
    <w:p w:rsidR="00646941" w:rsidRDefault="00646941" w:rsidP="00D93BE1">
      <w:pPr>
        <w:pStyle w:val="berschrift2"/>
      </w:pPr>
      <w:bookmarkStart w:id="35" w:name="_Toc435013447"/>
      <w:r>
        <w:t>§ 12 Abs. 1 BGG NRW</w:t>
      </w:r>
      <w:bookmarkEnd w:id="35"/>
    </w:p>
    <w:p w:rsidR="00646941" w:rsidRDefault="00D93BE1" w:rsidP="00F67D3A">
      <w:pPr>
        <w:spacing w:before="240" w:after="240" w:line="360" w:lineRule="auto"/>
      </w:pPr>
      <w:r>
        <w:t>Bei der Besetzung des Behindertenbeirats sollte der Landesbehindertenrat zwingend b</w:t>
      </w:r>
      <w:r>
        <w:t>e</w:t>
      </w:r>
      <w:r>
        <w:t>rücksichtigt werden, da es sich hierbei um ein Gremium handelt, welches sich durch langjä</w:t>
      </w:r>
      <w:r>
        <w:t>h</w:t>
      </w:r>
      <w:r>
        <w:t>rige Erfahrungen auf dem Gebiet der Behindertenpolitik und eine thematische Breite au</w:t>
      </w:r>
      <w:r>
        <w:t>s</w:t>
      </w:r>
      <w:r>
        <w:t>zeichnet</w:t>
      </w:r>
      <w:r w:rsidR="00B42296">
        <w:t>.</w:t>
      </w:r>
      <w:r>
        <w:t xml:space="preserve"> </w:t>
      </w:r>
      <w:r w:rsidR="00B42296">
        <w:t>Z</w:t>
      </w:r>
      <w:r>
        <w:t xml:space="preserve">udem </w:t>
      </w:r>
      <w:r w:rsidR="00B42296">
        <w:t xml:space="preserve">werden </w:t>
      </w:r>
      <w:r>
        <w:t xml:space="preserve">über das 3-Säulen-Modell die unterschiedlichen Akteure </w:t>
      </w:r>
      <w:r w:rsidR="003948F4">
        <w:t xml:space="preserve">aus </w:t>
      </w:r>
      <w:r w:rsidR="00B42296">
        <w:t>in der Behindertenpolitik</w:t>
      </w:r>
      <w:r w:rsidR="003948F4">
        <w:t xml:space="preserve"> </w:t>
      </w:r>
      <w:r>
        <w:t>repräsentiert. Es ist davon auszugehen, dass es sich hierbei um ein Allei</w:t>
      </w:r>
      <w:r>
        <w:t>n</w:t>
      </w:r>
      <w:r>
        <w:t>stellungsmerkmal des Landesbehindertenrat</w:t>
      </w:r>
      <w:r w:rsidR="003948F4">
        <w:t>s</w:t>
      </w:r>
      <w:r>
        <w:t xml:space="preserve"> gegenüber anderen Gremien handelt.</w:t>
      </w:r>
    </w:p>
    <w:p w:rsidR="004648C3" w:rsidRDefault="004648C3" w:rsidP="00F67D3A">
      <w:pPr>
        <w:spacing w:before="240" w:after="240" w:line="360" w:lineRule="auto"/>
      </w:pPr>
      <w:r>
        <w:t>Die Bezugnahme auf § 9 des Inklusionsgrundsätzegesetzes in § 12 Abs. 1 ist fehlerhaft, da im vorliegenden Gesetzentwurf der Inklusionsbeirat in § 10 geregelt ist.</w:t>
      </w:r>
    </w:p>
    <w:p w:rsidR="00646941" w:rsidRDefault="00646941" w:rsidP="00D93BE1">
      <w:pPr>
        <w:pStyle w:val="berschrift2"/>
      </w:pPr>
      <w:bookmarkStart w:id="36" w:name="_Toc435013448"/>
      <w:r>
        <w:t>§ 12 Abs. 2 S. 1 BGG NRW</w:t>
      </w:r>
      <w:bookmarkEnd w:id="36"/>
    </w:p>
    <w:p w:rsidR="00646941" w:rsidRDefault="00D93BE1" w:rsidP="00F67D3A">
      <w:pPr>
        <w:spacing w:before="240" w:after="240" w:line="360" w:lineRule="auto"/>
      </w:pPr>
      <w:r>
        <w:t xml:space="preserve">keine Anmerkungen </w:t>
      </w:r>
    </w:p>
    <w:p w:rsidR="00646941" w:rsidRDefault="00646941" w:rsidP="00AA279D">
      <w:pPr>
        <w:pStyle w:val="berschrift2"/>
      </w:pPr>
      <w:bookmarkStart w:id="37" w:name="_Toc435013449"/>
      <w:r>
        <w:t>§ 12 Abs. 2 S. 2 BGG NRW</w:t>
      </w:r>
      <w:bookmarkEnd w:id="37"/>
    </w:p>
    <w:p w:rsidR="00646941" w:rsidRDefault="00AA279D" w:rsidP="00F67D3A">
      <w:pPr>
        <w:spacing w:before="240" w:after="240" w:line="360" w:lineRule="auto"/>
      </w:pPr>
      <w:r>
        <w:t>Positiv hervorzuheben ist, dass nunmehr alle Träger öffentlicher Belange Adressaten von Beratungen und Empfehlungen der beauftragten Person für die Belange von Menschen mit Behinderungen sind. Die im früheren Gesetzentwurf enthaltene Abstufung ist entfallen.</w:t>
      </w:r>
    </w:p>
    <w:p w:rsidR="00646941" w:rsidRDefault="00646941" w:rsidP="00AA279D">
      <w:pPr>
        <w:pStyle w:val="berschrift2"/>
      </w:pPr>
      <w:bookmarkStart w:id="38" w:name="_Toc435013450"/>
      <w:r>
        <w:t>§ 12 Abs. 3 S. 3 BGG NRW</w:t>
      </w:r>
      <w:bookmarkEnd w:id="38"/>
    </w:p>
    <w:p w:rsidR="00646941" w:rsidRDefault="00C67CDE" w:rsidP="00F67D3A">
      <w:pPr>
        <w:spacing w:before="240" w:after="240" w:line="360" w:lineRule="auto"/>
      </w:pPr>
      <w:r>
        <w:t xml:space="preserve">keine Anmerkungen </w:t>
      </w:r>
    </w:p>
    <w:p w:rsidR="00C67CDE" w:rsidRDefault="00646941" w:rsidP="00C67CDE">
      <w:pPr>
        <w:pStyle w:val="berschrift2"/>
      </w:pPr>
      <w:bookmarkStart w:id="39" w:name="_Toc435013451"/>
      <w:r>
        <w:lastRenderedPageBreak/>
        <w:t>§ 13 (Wahrung der Belange von Menschen mit Behinderungen auf örtlicher Ebene)</w:t>
      </w:r>
      <w:bookmarkEnd w:id="39"/>
    </w:p>
    <w:p w:rsidR="00C67CDE" w:rsidRDefault="00C67CDE" w:rsidP="00F67D3A">
      <w:pPr>
        <w:spacing w:before="240" w:after="240" w:line="360" w:lineRule="auto"/>
      </w:pPr>
      <w:r>
        <w:t>Die Aufnahme der Gesetzesziele insgesamt in § 13 Abs. 1 ist positiv hervorzuheben, ebenso die Zielsetzung der Erarbeitung von Empfehlungen. Besonders erfreulich ist hierbei auch der Aspekt der Wahrnehmung von Behinderung als Bestandteil gesellschaftlicher Vielfalt.</w:t>
      </w:r>
    </w:p>
    <w:p w:rsidR="007762E4" w:rsidRDefault="00C67CDE" w:rsidP="00F67D3A">
      <w:pPr>
        <w:spacing w:before="240" w:after="240" w:line="360" w:lineRule="auto"/>
      </w:pPr>
      <w:r>
        <w:t>Allerdings wird an dieser Stelle auch das Spannungsverhältnis zur kommunalen Selbstverwa</w:t>
      </w:r>
      <w:r>
        <w:t>l</w:t>
      </w:r>
      <w:r>
        <w:t>tung deutlich, insbesondere in § 13 Abs. 2. Hier stößt das Behindertengleichstellungsgesetz an seine Grenzen und kann die in Abs. 1 genannten Ziele auf kommunaler Ebene nur durch eine Veränderung der Gemeindeordnung erreichen. Die Tatsache, dass dieses Artikelgesetz keine Anpassung der Gemeindeordnung vorsieht, ist daher zu kritisieren.</w:t>
      </w:r>
      <w:r w:rsidR="007762E4">
        <w:t xml:space="preserve"> So ist in Art. 5 der Gemeindeordnung NRW die Bestellung von Beauftragten für die Gleichstellung von Mann und Frau geregelt, in Art. 27 ist die Einrichtung eines Integrationsbeirats für Menschen mit Migrationshintergrund vorgesehen. </w:t>
      </w:r>
      <w:r w:rsidR="00B9776D">
        <w:t>Es</w:t>
      </w:r>
      <w:r w:rsidR="007762E4">
        <w:t xml:space="preserve"> wird ohne eine Änderung der Gemeindeordnung ke</w:t>
      </w:r>
      <w:r w:rsidR="007762E4">
        <w:t>i</w:t>
      </w:r>
      <w:r w:rsidR="007762E4">
        <w:t>ne effektive Wahrung der Belange von Menschen mit Behinderungen auf örtlicher Ebene zu erreichen sein. Die Bestimmungen über Gremien bzw. Beauftragte für die Gleichstellung von Mann und Frau bzw. für Menschen mit Migrationshintergrund sollten diesbezüglich als Vo</w:t>
      </w:r>
      <w:r w:rsidR="007762E4">
        <w:t>r</w:t>
      </w:r>
      <w:r w:rsidR="007762E4">
        <w:t>bild dienen.</w:t>
      </w:r>
    </w:p>
    <w:p w:rsidR="007762E4" w:rsidRDefault="007762E4" w:rsidP="007762E4">
      <w:pPr>
        <w:pStyle w:val="berschrift2"/>
      </w:pPr>
      <w:bookmarkStart w:id="40" w:name="_Toc435013452"/>
      <w:r>
        <w:t>§ 14 Abs. 1 BGG NRW</w:t>
      </w:r>
      <w:bookmarkEnd w:id="40"/>
    </w:p>
    <w:p w:rsidR="007762E4" w:rsidRDefault="004648C3" w:rsidP="00F67D3A">
      <w:pPr>
        <w:spacing w:before="240" w:after="240" w:line="360" w:lineRule="auto"/>
      </w:pPr>
      <w:r>
        <w:t xml:space="preserve"> Die</w:t>
      </w:r>
      <w:r w:rsidR="00084721">
        <w:t xml:space="preserve"> in § 14 Abs. 1 S. 2 enthaltene Bezugnahme auf § 10 Abs. 1 S. 2 des Inklusionsgrundsä</w:t>
      </w:r>
      <w:r w:rsidR="00084721">
        <w:t>t</w:t>
      </w:r>
      <w:r w:rsidR="00084721">
        <w:t>zegesetzes ist fehlerhaft, da in der derzeitigen Entwurfsfassung das Berichtswesen in § 12 desselben Gesetzes geregelt ist.</w:t>
      </w:r>
    </w:p>
    <w:p w:rsidR="007762E4" w:rsidRDefault="007762E4" w:rsidP="007762E4">
      <w:pPr>
        <w:pStyle w:val="berschrift2"/>
      </w:pPr>
      <w:bookmarkStart w:id="41" w:name="_Toc435013453"/>
      <w:r>
        <w:t>§ 14 Abs. 2 BGG NRW</w:t>
      </w:r>
      <w:bookmarkEnd w:id="41"/>
    </w:p>
    <w:p w:rsidR="007762E4" w:rsidRDefault="007762E4" w:rsidP="00F67D3A">
      <w:pPr>
        <w:spacing w:before="240" w:after="240" w:line="360" w:lineRule="auto"/>
      </w:pPr>
      <w:r>
        <w:t xml:space="preserve">keine Anmerkungen </w:t>
      </w:r>
    </w:p>
    <w:p w:rsidR="007762E4" w:rsidRDefault="007762E4" w:rsidP="007762E4">
      <w:pPr>
        <w:pStyle w:val="berschrift1"/>
      </w:pPr>
      <w:bookmarkStart w:id="42" w:name="_Toc435013454"/>
      <w:r>
        <w:lastRenderedPageBreak/>
        <w:t>Anmerkungen zu Art. 3: Änderung des Landesausführungsgesetzes zum Soz</w:t>
      </w:r>
      <w:r>
        <w:t>i</w:t>
      </w:r>
      <w:r>
        <w:t>algesetzbuch Zwölftes Buches (SGB XII) für das Land Nordrhein-Westfalen</w:t>
      </w:r>
      <w:bookmarkEnd w:id="42"/>
    </w:p>
    <w:p w:rsidR="00FF2105" w:rsidRDefault="00FF2105" w:rsidP="00FF2105">
      <w:pPr>
        <w:pStyle w:val="berschrift2"/>
      </w:pPr>
      <w:bookmarkStart w:id="43" w:name="_Toc435013455"/>
      <w:r>
        <w:t>§ 2 Abs. 1 und 2 AG SGB XII NRW</w:t>
      </w:r>
      <w:bookmarkEnd w:id="43"/>
    </w:p>
    <w:p w:rsidR="00FF2105" w:rsidRDefault="00FF2105" w:rsidP="00F67D3A">
      <w:pPr>
        <w:spacing w:before="240" w:after="240" w:line="360" w:lineRule="auto"/>
      </w:pPr>
      <w:r>
        <w:t>Der Wegfall der Ermächtigung, gemäß § 86 SGB XII bei der Anrechnung von Einkommen bei Bezug von Leistungen nach dem fünften bis neunten Kapitel SGB XII einen höheren Grun</w:t>
      </w:r>
      <w:r>
        <w:t>d</w:t>
      </w:r>
      <w:r>
        <w:t>freibetrag festzusetzen, wird kritisiert. In der bisherigen Ausführungsverordnung des Landes Nordrhein-Westfalen zum SGB XII war diese Ermächtigung noch enthalten.</w:t>
      </w:r>
    </w:p>
    <w:p w:rsidR="00FF2105" w:rsidRDefault="00FF2105" w:rsidP="00F67D3A">
      <w:pPr>
        <w:spacing w:before="240" w:after="240" w:line="360" w:lineRule="auto"/>
      </w:pPr>
      <w:r>
        <w:t>Mit dieser Ermächtigung kann ein höherer Grundfreibetrag festgelegt werden, mit der Folge, dass die für die Betroffenen ohnehin sehr belastende Anrechnung von Einkommen zumi</w:t>
      </w:r>
      <w:r>
        <w:t>n</w:t>
      </w:r>
      <w:r>
        <w:t>dest etwas abgemildert wird. Nicht alle Bundesländer haben von der Möglichkeit in diesem Sinne Gebrauch gemacht, Nordrhein-Westfalen war jedoch in anerkennenswerter Weise eines von diesen Ländern. Durch den Wegfall im neuen Gesetzentwurf wird ein fatales Signal in dem Sinne gesetzt, dass das Land keinen Handlungsspielr</w:t>
      </w:r>
      <w:r w:rsidR="003948F4">
        <w:t>aum beansprucht zur Korrektur in</w:t>
      </w:r>
      <w:r>
        <w:t xml:space="preserve"> Bezug auf die äußerst kritikwürdigen Bestimmungen zur Anrechnung des Einkommens beispielsweise bei Leistungen der Eingliederungshilfe oder der Hilfe zur Pflege.</w:t>
      </w:r>
    </w:p>
    <w:p w:rsidR="00084721" w:rsidRDefault="00084721" w:rsidP="00F67D3A">
      <w:pPr>
        <w:spacing w:before="240" w:after="240" w:line="360" w:lineRule="auto"/>
      </w:pPr>
      <w:r>
        <w:t>Sehr begrüßt wird die Einfügung eines neuen S. 1 in Abs. 2, wonach aufsichtsführende B</w:t>
      </w:r>
      <w:r>
        <w:t>e</w:t>
      </w:r>
      <w:r>
        <w:t xml:space="preserve">hörde über die örtlichen und überörtlichen Träger das für das Sozialhilferecht zuständige Ministerium ist. </w:t>
      </w:r>
    </w:p>
    <w:p w:rsidR="00C67CDE" w:rsidRDefault="00FF2105" w:rsidP="00FF2105">
      <w:pPr>
        <w:pStyle w:val="berschrift2"/>
      </w:pPr>
      <w:bookmarkStart w:id="44" w:name="_Toc435013456"/>
      <w:r>
        <w:t>§ 2a AG SGB XII NRW</w:t>
      </w:r>
      <w:bookmarkEnd w:id="44"/>
    </w:p>
    <w:p w:rsidR="00FF2105" w:rsidRDefault="00FF2105" w:rsidP="00F67D3A">
      <w:pPr>
        <w:spacing w:before="240" w:after="240" w:line="360" w:lineRule="auto"/>
      </w:pPr>
      <w:r>
        <w:t>Positiv hervorzuheben ist die Klarstellung, dass es für die Begründung der Zuständigkeit des überörtlichen Sozialhilfeträgers nicht auf Hilfe zum betreuten Wohnen ankommt. Es bleibt zu hoffen, dass dieser Neuregelung und Klarstellung die bisherigen Unstimmigkeiten zw</w:t>
      </w:r>
      <w:r>
        <w:t>i</w:t>
      </w:r>
      <w:r>
        <w:t>schen örtlichem und überörtlichem Sozialhilfeträger für den Bereich des Rheinlandes bese</w:t>
      </w:r>
      <w:r>
        <w:t>i</w:t>
      </w:r>
      <w:r>
        <w:t>tigen kann. Da diesbezüglich eigentlich schon die früheren Bestimmungen ausreichend klar definiert waren und es dennoch zu Zuständigkeitsverschiebung</w:t>
      </w:r>
      <w:r w:rsidR="003948F4">
        <w:t>en gekommen</w:t>
      </w:r>
      <w:r>
        <w:t xml:space="preserve"> ist, wäre die</w:t>
      </w:r>
      <w:r>
        <w:t>s</w:t>
      </w:r>
      <w:r>
        <w:t>bezüglich eine ausführliche Erläuterung in der offiziellen Gesetzesbegründung angezeigt</w:t>
      </w:r>
      <w:r w:rsidR="00084721">
        <w:t>, eventuell sogar eine entsprechende Ergänzung unmittelbar im Gesetzestext</w:t>
      </w:r>
      <w:r w:rsidR="009D3615">
        <w:t>.</w:t>
      </w:r>
    </w:p>
    <w:p w:rsidR="00FF2105" w:rsidRDefault="00FF2105" w:rsidP="00F67D3A">
      <w:pPr>
        <w:spacing w:before="240" w:after="240" w:line="360" w:lineRule="auto"/>
      </w:pPr>
      <w:r>
        <w:lastRenderedPageBreak/>
        <w:t>Die Trennung von Hilfen in besonderen Lebenslagen (frühere Terminologie) und Transferlei</w:t>
      </w:r>
      <w:r>
        <w:t>s</w:t>
      </w:r>
      <w:r>
        <w:t xml:space="preserve">tungen zur Sicherung des Lebensunterhalts erscheint sachgerecht, </w:t>
      </w:r>
      <w:r w:rsidR="003948F4">
        <w:t>da es</w:t>
      </w:r>
      <w:r>
        <w:t xml:space="preserve"> die Vergleichbarkeit zwischen ambulanten und stationären Leistungen erleichtert.</w:t>
      </w:r>
    </w:p>
    <w:p w:rsidR="009D3615" w:rsidRDefault="00FF2105" w:rsidP="009D3615">
      <w:pPr>
        <w:spacing w:before="240" w:after="240" w:line="360" w:lineRule="auto"/>
      </w:pPr>
      <w:r>
        <w:t>Der im Gesetzentwurf genannte Betrag von 180,00 € für Hilfsmittel wurde bereits im Jahre 2004 festgelegt und sollte an die zwischenzeitliche Preisentwicklung angepasst werden. Denkbar wäre hier eine Grenzziehung auf 300,00 €.</w:t>
      </w:r>
    </w:p>
    <w:p w:rsidR="00C660E0" w:rsidRDefault="00C660E0" w:rsidP="00C660E0">
      <w:pPr>
        <w:pStyle w:val="berschrift2"/>
      </w:pPr>
      <w:bookmarkStart w:id="45" w:name="_Toc435013457"/>
      <w:r>
        <w:t>§ 2b AG SGB XII NRW</w:t>
      </w:r>
      <w:bookmarkEnd w:id="45"/>
    </w:p>
    <w:p w:rsidR="00C660E0" w:rsidRDefault="00C660E0" w:rsidP="00F67D3A">
      <w:pPr>
        <w:spacing w:before="240" w:after="240" w:line="360" w:lineRule="auto"/>
      </w:pPr>
      <w:r>
        <w:t xml:space="preserve">keine Anmerkungen </w:t>
      </w:r>
    </w:p>
    <w:p w:rsidR="00C660E0" w:rsidRDefault="00C660E0" w:rsidP="00C660E0">
      <w:pPr>
        <w:pStyle w:val="berschrift2"/>
      </w:pPr>
      <w:bookmarkStart w:id="46" w:name="_Toc435013458"/>
      <w:r>
        <w:t>§ 7 Abs. 6 S. 2 AG SGB XII NRW</w:t>
      </w:r>
      <w:bookmarkEnd w:id="46"/>
    </w:p>
    <w:p w:rsidR="00C660E0" w:rsidRDefault="00C660E0" w:rsidP="00F67D3A">
      <w:pPr>
        <w:spacing w:before="240" w:after="240" w:line="360" w:lineRule="auto"/>
      </w:pPr>
      <w:r>
        <w:t xml:space="preserve">keine Anmerkungen </w:t>
      </w:r>
    </w:p>
    <w:p w:rsidR="00C660E0" w:rsidRDefault="00C660E0" w:rsidP="00C660E0">
      <w:pPr>
        <w:pStyle w:val="berschrift2"/>
      </w:pPr>
      <w:bookmarkStart w:id="47" w:name="_Toc435013459"/>
      <w:r>
        <w:t>§ 8 AG SGB XII NRW</w:t>
      </w:r>
      <w:bookmarkEnd w:id="47"/>
    </w:p>
    <w:p w:rsidR="00FF6927" w:rsidRDefault="00C660E0" w:rsidP="00F67D3A">
      <w:pPr>
        <w:spacing w:before="240" w:after="240" w:line="360" w:lineRule="auto"/>
      </w:pPr>
      <w:r>
        <w:t>Das bloße Hinwirken auf eine flächendeckende Struktur von Diensten und Einrichtungen ist zu unbestimmt, vielmehr bedarf es auch angesichts der Bede</w:t>
      </w:r>
      <w:r w:rsidR="003948F4">
        <w:t>utung derartiger Strukturen für b</w:t>
      </w:r>
      <w:r>
        <w:t>ehinderte Menschen eines Sicherstellungsauftrags an die Träger öffentlicher Belange. Z</w:t>
      </w:r>
      <w:r>
        <w:t>u</w:t>
      </w:r>
      <w:r>
        <w:t>mindest aber bedarf es einer Pflicht zur aktiven Förderung derartiger Strukturen.</w:t>
      </w:r>
      <w:r w:rsidR="00FF6927">
        <w:t xml:space="preserve"> Dies muss auch eine konkrete Verpflichtung zur Deinstitutionalisierung in der Behindertenhilfe bzw. Altenhilfe beinhalten, da die Mehrzahl der Menschen mit Behinderung alt ist und viel davon mangels alternativer Lebensformen in Altenheimen leben (müssen). Solange es keinen Akt</w:t>
      </w:r>
      <w:r w:rsidR="00FF6927">
        <w:t>i</w:t>
      </w:r>
      <w:r w:rsidR="00FF6927">
        <w:t>onsplan zur Deinstitutionalisierung und barrierefreien und inklusiven Sozialraumgestaltung gibt, werden die Leistungserbringer weiter auf Komplexeinrichtungen setzen, d.h. stationäre und ambulante Leistungen nebeneinander anbieten.  Solange aber stationäre Leistungen vorgehalten werden, gebieten es die Grundsätze der Betriebswirtschaft, diese auch mö</w:t>
      </w:r>
      <w:r w:rsidR="00FF6927">
        <w:t>g</w:t>
      </w:r>
      <w:r w:rsidR="00FF6927">
        <w:t>lichst effizient zu nutzen, d.h. Menschen mit Behinderung davon ab</w:t>
      </w:r>
      <w:r w:rsidR="00B42296">
        <w:t>zu</w:t>
      </w:r>
      <w:r w:rsidR="00FF6927">
        <w:t>halten</w:t>
      </w:r>
      <w:r w:rsidR="00B42296">
        <w:t>,</w:t>
      </w:r>
      <w:r w:rsidR="00FF6927">
        <w:t xml:space="preserve"> stationäre Wohnformen zu verlassen. </w:t>
      </w:r>
    </w:p>
    <w:p w:rsidR="00FF6927" w:rsidRDefault="00FF6927" w:rsidP="00F67D3A">
      <w:pPr>
        <w:spacing w:before="240" w:after="240" w:line="360" w:lineRule="auto"/>
      </w:pPr>
      <w:r>
        <w:t>Wichtig wäre in diesem Zusammen</w:t>
      </w:r>
      <w:r w:rsidR="00CC733F">
        <w:t>hang auch eine</w:t>
      </w:r>
      <w:r w:rsidR="002101ED">
        <w:t xml:space="preserve"> Bestimmung</w:t>
      </w:r>
      <w:r w:rsidR="00CC733F">
        <w:t>,</w:t>
      </w:r>
      <w:r>
        <w:t xml:space="preserve"> die klarstellt, dass die „a</w:t>
      </w:r>
      <w:r>
        <w:t>m</w:t>
      </w:r>
      <w:r>
        <w:t>bulanzabwehrende“ Vorschrift des § 13 Abs. 1 S. 3 SGB XII in NRW nicht angewendet wird.</w:t>
      </w:r>
    </w:p>
    <w:p w:rsidR="00C660E0" w:rsidRDefault="00C660E0" w:rsidP="00C660E0">
      <w:pPr>
        <w:pStyle w:val="berschrift2"/>
      </w:pPr>
      <w:bookmarkStart w:id="48" w:name="_Toc435013460"/>
      <w:r>
        <w:lastRenderedPageBreak/>
        <w:t>§ 9 AG SGB XII NRW</w:t>
      </w:r>
      <w:bookmarkEnd w:id="48"/>
    </w:p>
    <w:p w:rsidR="00C660E0" w:rsidRDefault="00C660E0" w:rsidP="00F67D3A">
      <w:pPr>
        <w:spacing w:before="240" w:after="240" w:line="360" w:lineRule="auto"/>
      </w:pPr>
      <w:r>
        <w:t>Grundsätzlich begrüßt</w:t>
      </w:r>
      <w:r w:rsidR="00B9776D">
        <w:t xml:space="preserve"> wird</w:t>
      </w:r>
      <w:r>
        <w:t xml:space="preserve"> die Einrichtung einer Fachkommission, jedoch sollte sich diese nicht allein auf das Thema der Eingliederungshilfe beschränken, sondern zumindest auch den Bereich der aufstockenden Hilfe </w:t>
      </w:r>
      <w:r w:rsidR="003948F4">
        <w:t xml:space="preserve">zur Pflege </w:t>
      </w:r>
      <w:r>
        <w:t>außerhalb des SGB XI umfassen. Im derzeit</w:t>
      </w:r>
      <w:r>
        <w:t>i</w:t>
      </w:r>
      <w:r>
        <w:t>gen sozialen Leistungssystem während dies das sechste Kapitel SGB XII für die Einglied</w:t>
      </w:r>
      <w:r>
        <w:t>e</w:t>
      </w:r>
      <w:r>
        <w:t>rungshilfe und das siebte Kapitel SGB XII für die aufstockende Hilfe zur Pflege.</w:t>
      </w:r>
    </w:p>
    <w:p w:rsidR="00522062" w:rsidRDefault="00C660E0" w:rsidP="00F67D3A">
      <w:pPr>
        <w:spacing w:before="240" w:after="240" w:line="360" w:lineRule="auto"/>
      </w:pPr>
      <w:r>
        <w:t>Grund für diese Forderung ist, dass die Abgrenzung zwischen Eingliederungshilfe und Pflege äußerst schwierig ist. Dies gilt insbesondere dann, wenn</w:t>
      </w:r>
      <w:r w:rsidR="00522062">
        <w:t xml:space="preserve"> man den sozialhilferechtlichen Pfl</w:t>
      </w:r>
      <w:r w:rsidR="00522062">
        <w:t>e</w:t>
      </w:r>
      <w:r w:rsidR="00522062">
        <w:t>gebegriff aus § 61 Abs. 1 S. 2 SGB XII zugrunde legt. Nicht umsonst werden 24 Stunden-Assistenzmodelle teilweise vollständig über Hilfe zur Pflege</w:t>
      </w:r>
      <w:r w:rsidR="003948F4">
        <w:t xml:space="preserve"> abgewickelt</w:t>
      </w:r>
      <w:r w:rsidR="00522062">
        <w:t xml:space="preserve">, teilweise aber auch vollständig </w:t>
      </w:r>
      <w:r w:rsidR="003948F4">
        <w:t>als</w:t>
      </w:r>
      <w:r w:rsidR="00522062">
        <w:t xml:space="preserve"> Eingliederungshilfe bewertet, dies je nach Präferenz des jeweili</w:t>
      </w:r>
      <w:r w:rsidR="003948F4">
        <w:t>gen Kostentr</w:t>
      </w:r>
      <w:r w:rsidR="003948F4">
        <w:t>ä</w:t>
      </w:r>
      <w:r w:rsidR="003948F4">
        <w:t>ger</w:t>
      </w:r>
      <w:r w:rsidR="00522062">
        <w:t>s.</w:t>
      </w:r>
    </w:p>
    <w:p w:rsidR="00522062" w:rsidRDefault="00522062" w:rsidP="00F67D3A">
      <w:pPr>
        <w:spacing w:before="240" w:after="240" w:line="360" w:lineRule="auto"/>
      </w:pPr>
      <w:r>
        <w:t>Darüber hinaus ist die Einbeziehung beider Hilfesysteme notwendig, um dem Gedanken der ganzheitlichen Sichtweise auf die Lebenssituation behinderter Menschen zumindest ansat</w:t>
      </w:r>
      <w:r>
        <w:t>z</w:t>
      </w:r>
      <w:r>
        <w:t>weise gerecht zu werden.</w:t>
      </w:r>
    </w:p>
    <w:p w:rsidR="00C77F76" w:rsidRDefault="00522062" w:rsidP="00F67D3A">
      <w:pPr>
        <w:spacing w:before="240" w:after="240" w:line="360" w:lineRule="auto"/>
      </w:pPr>
      <w:r>
        <w:t>Schließlich ist zu erwarten, dass der zukünftige</w:t>
      </w:r>
      <w:r w:rsidR="00C77F76">
        <w:t xml:space="preserve"> Pflegebegriff des elften Buches Sozialgeset</w:t>
      </w:r>
      <w:r w:rsidR="00C77F76">
        <w:t>z</w:t>
      </w:r>
      <w:r w:rsidR="00C77F76">
        <w:t>buch (soziale Pflegeversiche</w:t>
      </w:r>
      <w:r w:rsidR="003948F4">
        <w:t>rung) künftig deutlich mehr t</w:t>
      </w:r>
      <w:r w:rsidR="00C77F76">
        <w:t>eilhabeorientiert sein wird als bi</w:t>
      </w:r>
      <w:r w:rsidR="00C77F76">
        <w:t>s</w:t>
      </w:r>
      <w:r w:rsidR="00C77F76">
        <w:t>her.</w:t>
      </w:r>
    </w:p>
    <w:p w:rsidR="00C77F76" w:rsidRDefault="00C77F76" w:rsidP="00F67D3A">
      <w:pPr>
        <w:spacing w:before="240" w:after="240" w:line="360" w:lineRule="auto"/>
      </w:pPr>
      <w:r>
        <w:t>Bei der Besetzung der Fachkommission ist darauf zu achten, dass die Landschaft der Verbä</w:t>
      </w:r>
      <w:r>
        <w:t>n</w:t>
      </w:r>
      <w:r>
        <w:t>de von Menschen mit Behinderungen repräsentativ abgebildet wird.</w:t>
      </w:r>
    </w:p>
    <w:p w:rsidR="00C77F76" w:rsidRDefault="00C77F76" w:rsidP="00C77F76">
      <w:pPr>
        <w:pStyle w:val="berschrift2"/>
      </w:pPr>
      <w:bookmarkStart w:id="49" w:name="_Toc435013461"/>
      <w:r>
        <w:t>§ 10 AG SGB XII NRW</w:t>
      </w:r>
      <w:bookmarkEnd w:id="49"/>
    </w:p>
    <w:p w:rsidR="00C77F76" w:rsidRDefault="00C77F76" w:rsidP="00F67D3A">
      <w:pPr>
        <w:spacing w:before="240" w:after="240" w:line="360" w:lineRule="auto"/>
      </w:pPr>
      <w:r>
        <w:t xml:space="preserve">keine Anmerkungen </w:t>
      </w:r>
    </w:p>
    <w:p w:rsidR="00C660E0" w:rsidRDefault="00C77F76" w:rsidP="00C77F76">
      <w:pPr>
        <w:pStyle w:val="berschrift1"/>
      </w:pPr>
      <w:bookmarkStart w:id="50" w:name="_Toc435013462"/>
      <w:r>
        <w:lastRenderedPageBreak/>
        <w:t>Anmerkungen zu Art. 4: Änderung des Kinderbildungsgesetzes</w:t>
      </w:r>
      <w:bookmarkEnd w:id="50"/>
    </w:p>
    <w:p w:rsidR="00C77F76" w:rsidRDefault="00C77F76" w:rsidP="00C77F76">
      <w:pPr>
        <w:pStyle w:val="berschrift2"/>
      </w:pPr>
      <w:bookmarkStart w:id="51" w:name="_Toc435013463"/>
      <w:r>
        <w:t xml:space="preserve">§ 9 Abs. 1 </w:t>
      </w:r>
      <w:r w:rsidRPr="00C77F76">
        <w:t>KiBiz</w:t>
      </w:r>
      <w:bookmarkEnd w:id="51"/>
    </w:p>
    <w:p w:rsidR="00C77F76" w:rsidRDefault="00B9776D" w:rsidP="00F67D3A">
      <w:pPr>
        <w:spacing w:before="240" w:after="240" w:line="360" w:lineRule="auto"/>
      </w:pPr>
      <w:r>
        <w:t xml:space="preserve">Es wird </w:t>
      </w:r>
      <w:r w:rsidR="00C77F76">
        <w:t>kritisiert, dass in dieser Vorschrift lediglich Eltern mit Hörbehinderung oder Sprac</w:t>
      </w:r>
      <w:r w:rsidR="00C77F76">
        <w:t>h</w:t>
      </w:r>
      <w:r w:rsidR="00C77F76">
        <w:t>behinderung berücksichtigt sind, nicht hingegen Eltern mit Lernschwierigkeiten</w:t>
      </w:r>
      <w:r w:rsidR="00B42296">
        <w:t>, kognitiven oder psycho-sozialen Beeinträchtigungen</w:t>
      </w:r>
      <w:r w:rsidR="00C77F76">
        <w:t>, die einen Bedarf an leichter Sprache oder eine ähnliche Kommunikationsform haben. Hier ist eine Änderung dringend erforderlich, insb</w:t>
      </w:r>
      <w:r w:rsidR="00C77F76">
        <w:t>e</w:t>
      </w:r>
      <w:r w:rsidR="00C77F76">
        <w:t>sondere deshalb, weil das Schulgesetz NRW eine solche Unterscheidung zwischen verschi</w:t>
      </w:r>
      <w:r w:rsidR="00C77F76">
        <w:t>e</w:t>
      </w:r>
      <w:r w:rsidR="00C77F76">
        <w:t>denen Behinderungsarten der Eltern nicht vornimmt. Die Formulierung aus § 42 Abs. 4 Schulgesetz NRW sollte daher übernommen werden.</w:t>
      </w:r>
    </w:p>
    <w:p w:rsidR="00C77F76" w:rsidRDefault="00C77F76" w:rsidP="00C77F76">
      <w:pPr>
        <w:pStyle w:val="berschrift1"/>
      </w:pPr>
      <w:bookmarkStart w:id="52" w:name="_Toc435013464"/>
      <w:r>
        <w:t>Anmerkungen zu Art. 5: Änderung des Schulgesetzes NRW</w:t>
      </w:r>
      <w:bookmarkEnd w:id="52"/>
    </w:p>
    <w:p w:rsidR="00C77F76" w:rsidRDefault="00C77F76" w:rsidP="00C77F76">
      <w:pPr>
        <w:pStyle w:val="berschrift2"/>
      </w:pPr>
      <w:bookmarkStart w:id="53" w:name="_Toc435013465"/>
      <w:r>
        <w:t>§ 42 Abs. 4 SchulG NRW</w:t>
      </w:r>
      <w:bookmarkEnd w:id="53"/>
    </w:p>
    <w:p w:rsidR="00C77F76" w:rsidRDefault="00C77F76" w:rsidP="00F67D3A">
      <w:pPr>
        <w:spacing w:before="240" w:after="240" w:line="360" w:lineRule="auto"/>
      </w:pPr>
      <w:r>
        <w:t xml:space="preserve">Wie oben bereits erwähnt, </w:t>
      </w:r>
      <w:r w:rsidR="00B9776D">
        <w:t xml:space="preserve">wird </w:t>
      </w:r>
      <w:r>
        <w:t>die behinderungsübergreifende Berechtigung von Eltern</w:t>
      </w:r>
      <w:r w:rsidR="00B9776D">
        <w:t xml:space="preserve"> begrüßt</w:t>
      </w:r>
      <w:r>
        <w:t xml:space="preserve">, die Kommunikationshilfen benötigen. </w:t>
      </w:r>
      <w:r w:rsidR="00B9776D">
        <w:t xml:space="preserve">Erforderlich ist </w:t>
      </w:r>
      <w:r>
        <w:t>eine Übertragung dieser Fo</w:t>
      </w:r>
      <w:r>
        <w:t>r</w:t>
      </w:r>
      <w:r>
        <w:t>mulierungen auch auf das Kinderbildungsgesetz.</w:t>
      </w:r>
    </w:p>
    <w:p w:rsidR="00084721" w:rsidRDefault="00084721" w:rsidP="009D3615">
      <w:pPr>
        <w:pStyle w:val="berschrift2"/>
      </w:pPr>
      <w:bookmarkStart w:id="54" w:name="_Toc435013466"/>
      <w:r>
        <w:t xml:space="preserve">§ 100 </w:t>
      </w:r>
      <w:r w:rsidR="00BF7E1E">
        <w:t xml:space="preserve">Abs. 3 </w:t>
      </w:r>
      <w:r>
        <w:t>SchulG NRW</w:t>
      </w:r>
      <w:bookmarkEnd w:id="54"/>
    </w:p>
    <w:p w:rsidR="00084721" w:rsidRPr="00084721" w:rsidRDefault="00084721" w:rsidP="00084721">
      <w:pPr>
        <w:spacing w:before="240" w:after="240" w:line="360" w:lineRule="auto"/>
      </w:pPr>
      <w:r>
        <w:t xml:space="preserve">Die </w:t>
      </w:r>
      <w:r w:rsidR="00BF7E1E">
        <w:t xml:space="preserve">neu eingefügte </w:t>
      </w:r>
      <w:r>
        <w:t>Klarstellung, dass</w:t>
      </w:r>
      <w:r w:rsidR="00BF7E1E">
        <w:t xml:space="preserve"> auch bei Besuch einer genehmigten Ersatzschule die Rechte aus § 8 Abs. 1 BGG NRW für die betroffenen Eltern gelten, ist sehr zu begrüßen, da sie nicht nur die Rechtsposition dieser Eltern stellen, sondern auch einen Schulwechsel von einer staatlichen auf eine Ersatzschule für deren Kinder deutlich erleichtert bzw. überhaupt erst möglich macht. Ansonsten würde die Wahlfreiheit der Eltern in unzulässiger Weise ei</w:t>
      </w:r>
      <w:r w:rsidR="00BF7E1E">
        <w:t>n</w:t>
      </w:r>
      <w:r w:rsidR="00BF7E1E">
        <w:t>geschränkt.</w:t>
      </w:r>
    </w:p>
    <w:p w:rsidR="00C77F76" w:rsidRDefault="00C77F76" w:rsidP="00C77F76">
      <w:pPr>
        <w:pStyle w:val="berschrift1"/>
      </w:pPr>
      <w:bookmarkStart w:id="55" w:name="_Toc435013467"/>
      <w:r>
        <w:t>Anmerkungen zu Art. 6: Änderung des Landeswahlgesetzes</w:t>
      </w:r>
      <w:bookmarkEnd w:id="55"/>
    </w:p>
    <w:p w:rsidR="00131758" w:rsidRDefault="00131758" w:rsidP="00131758">
      <w:pPr>
        <w:pStyle w:val="berschrift2"/>
      </w:pPr>
      <w:bookmarkStart w:id="56" w:name="_Toc435013468"/>
      <w:r>
        <w:t>§ 24 Abs. 1 S. 1 LWahlG</w:t>
      </w:r>
      <w:bookmarkEnd w:id="56"/>
    </w:p>
    <w:p w:rsidR="00CC733F" w:rsidRDefault="00C77F76" w:rsidP="00F67D3A">
      <w:pPr>
        <w:spacing w:before="240" w:after="240" w:line="360" w:lineRule="auto"/>
      </w:pPr>
      <w:r>
        <w:t>Im Zusammenhang mit der Frage der Wahlberechtigung</w:t>
      </w:r>
      <w:r w:rsidR="00B9776D">
        <w:t xml:space="preserve"> </w:t>
      </w:r>
      <w:r w:rsidR="009D3615">
        <w:t xml:space="preserve">wird der </w:t>
      </w:r>
      <w:r w:rsidR="00131758">
        <w:t xml:space="preserve">Ausschluss von Menschen, die vollumfänglich </w:t>
      </w:r>
      <w:r w:rsidR="00BC5AB8">
        <w:t>unter gesetzlicher</w:t>
      </w:r>
      <w:r w:rsidR="00131758">
        <w:t xml:space="preserve"> Betreuung stehen</w:t>
      </w:r>
      <w:r w:rsidR="00B9776D">
        <w:t>, kritisiert</w:t>
      </w:r>
      <w:r w:rsidR="00131758">
        <w:t xml:space="preserve">. Dieser Ausschluss muss </w:t>
      </w:r>
      <w:r w:rsidR="00131758">
        <w:lastRenderedPageBreak/>
        <w:t>aufgehoben werden. Die UN-BRK kennt eine solche Unterscheidung und einen solchen Au</w:t>
      </w:r>
      <w:r w:rsidR="00131758">
        <w:t>s</w:t>
      </w:r>
      <w:r w:rsidR="00131758">
        <w:t>schluss von Grundlagen der politischen Partizipation nicht.</w:t>
      </w:r>
    </w:p>
    <w:p w:rsidR="00CC733F" w:rsidRDefault="00CC733F" w:rsidP="00F67D3A">
      <w:pPr>
        <w:spacing w:before="240" w:after="240" w:line="360" w:lineRule="auto"/>
      </w:pPr>
      <w:r>
        <w:t>Der BRK-</w:t>
      </w:r>
      <w:r w:rsidRPr="00CC733F">
        <w:t>Ausschuss hat dies in seinen abschließenden Bemerkungen und auch in sei</w:t>
      </w:r>
      <w:r>
        <w:t>ner Rechtsprechung (vgl. Bujdosó</w:t>
      </w:r>
      <w:r w:rsidRPr="00CC733F">
        <w:t xml:space="preserve"> </w:t>
      </w:r>
      <w:r>
        <w:t>gegen</w:t>
      </w:r>
      <w:r w:rsidRPr="00CC733F">
        <w:t>. Ungarn)</w:t>
      </w:r>
      <w:r>
        <w:rPr>
          <w:rStyle w:val="Funotenzeichen"/>
        </w:rPr>
        <w:footnoteReference w:id="9"/>
      </w:r>
      <w:r w:rsidRPr="00CC733F">
        <w:t xml:space="preserve"> mehrfach betont. Die  in der Anhörung geä</w:t>
      </w:r>
      <w:r w:rsidRPr="00CC733F">
        <w:t>u</w:t>
      </w:r>
      <w:r w:rsidRPr="00CC733F">
        <w:t>ßer</w:t>
      </w:r>
      <w:r>
        <w:t>te Mitteilung, der Aus</w:t>
      </w:r>
      <w:r w:rsidRPr="00CC733F">
        <w:t>schluss vom Wahlrecht komme in der Praxis so gut wie nie vor, u</w:t>
      </w:r>
      <w:r w:rsidRPr="00CC733F">
        <w:t>n</w:t>
      </w:r>
      <w:r w:rsidRPr="00CC733F">
        <w:t>terstreicht die Notwendigkeit der Streichung der</w:t>
      </w:r>
      <w:r>
        <w:t xml:space="preserve"> entsprechenden landesrechtlichen </w:t>
      </w:r>
      <w:r w:rsidRPr="00CC733F">
        <w:t>Vo</w:t>
      </w:r>
      <w:r w:rsidRPr="00CC733F">
        <w:t>r</w:t>
      </w:r>
      <w:r w:rsidRPr="00CC733F">
        <w:t>schrift. Das gebietet zudem bereits der verfassungsrechtliche Verhältnismäßigkeitsgrundatz. Danach darf der Gesetzgeber nicht in die Rechte der  Bürger eingreifen, wenn der Eingriff nicht erforderlich ist.</w:t>
      </w:r>
    </w:p>
    <w:p w:rsidR="00131758" w:rsidRDefault="00131758" w:rsidP="00F67D3A">
      <w:pPr>
        <w:spacing w:before="240" w:after="240" w:line="360" w:lineRule="auto"/>
      </w:pPr>
      <w:r>
        <w:t>Aus der Beratungspraxis sind Fälle bekannt, in denen Menschen mit körperlicher Beeinträc</w:t>
      </w:r>
      <w:r>
        <w:t>h</w:t>
      </w:r>
      <w:r>
        <w:t>tigung, die kognitiv uneingeschränkt orientiert sind, aus Gründen der physischen Überla</w:t>
      </w:r>
      <w:r>
        <w:t>s</w:t>
      </w:r>
      <w:r>
        <w:t>tung durch die Bewältigung des Alltags den Wunsch nach einer möglichst umfassenden g</w:t>
      </w:r>
      <w:r>
        <w:t>e</w:t>
      </w:r>
      <w:r>
        <w:t>setzlichen Betreuung äußern. Diese Menschen wären für den Fall, dass eine</w:t>
      </w:r>
      <w:r w:rsidR="00BC5AB8">
        <w:t xml:space="preserve"> vollumfängliche Betreuung auf i</w:t>
      </w:r>
      <w:r>
        <w:t>hren Antrag hin angeordnet wird, ebenfalls vom Wahlrecht ausgeschlossen. Auch diese Folge ist nicht hinnehmbar.</w:t>
      </w:r>
    </w:p>
    <w:p w:rsidR="004B5FE8" w:rsidRDefault="004B5FE8" w:rsidP="004B5FE8">
      <w:pPr>
        <w:pStyle w:val="berschrift2"/>
      </w:pPr>
      <w:bookmarkStart w:id="57" w:name="_Toc435013469"/>
      <w:r>
        <w:t>§ 24 Abs. 1 S. 2 LWahlG</w:t>
      </w:r>
      <w:bookmarkEnd w:id="57"/>
    </w:p>
    <w:p w:rsidR="004B5FE8" w:rsidRDefault="004B5FE8" w:rsidP="004B5FE8">
      <w:pPr>
        <w:spacing w:before="240" w:after="240" w:line="360" w:lineRule="auto"/>
      </w:pPr>
      <w:r>
        <w:t>Die amtliche Herstellung der Wahlschablonen ist zu begrüßen, da dies auch ein Ausdruck der Schaffung eines inklusiven Wahlsystems ist. Die in § 40 vorgesehene Kostenerstattung an den Blindenverein für die Herstellung der Schablonen ist nunmehr entbehrlich.</w:t>
      </w:r>
    </w:p>
    <w:p w:rsidR="00CC733F" w:rsidRDefault="00CC733F" w:rsidP="004B5FE8">
      <w:pPr>
        <w:spacing w:before="240" w:after="240" w:line="360" w:lineRule="auto"/>
      </w:pPr>
      <w:r>
        <w:t>Allerdings fehlt eine Regelung über Wahlunterlagen in leichter Sprache. Auch an dieser Stelle wird deutlich, dass die Bedürfnisse von Menschen mit geistigen oder kognitiven Einschrä</w:t>
      </w:r>
      <w:r>
        <w:t>n</w:t>
      </w:r>
      <w:r>
        <w:t>kungen bislang nur sehr unzureichend berücksichtigt werden. Hier ist eine Gleichstellung mit Regelungen bezüglich anderer Beeinträchtigungen zwingend geboten.</w:t>
      </w:r>
    </w:p>
    <w:p w:rsidR="004B5FE8" w:rsidRDefault="004B5FE8" w:rsidP="004B5FE8">
      <w:pPr>
        <w:pStyle w:val="berschrift1"/>
      </w:pPr>
      <w:bookmarkStart w:id="58" w:name="_Toc435013470"/>
      <w:r>
        <w:lastRenderedPageBreak/>
        <w:t>Anmerkungen zu Art. 7: Änderung des Kommunalwahlgesetzes</w:t>
      </w:r>
      <w:bookmarkEnd w:id="58"/>
    </w:p>
    <w:p w:rsidR="004B5FE8" w:rsidRDefault="004B5FE8" w:rsidP="004B5FE8">
      <w:pPr>
        <w:pStyle w:val="berschrift2"/>
      </w:pPr>
      <w:bookmarkStart w:id="59" w:name="_Toc435013471"/>
      <w:r>
        <w:t>§ 23 Abs. 1 S. 1 und 2 Kommunalwahlgesetz NRW</w:t>
      </w:r>
      <w:bookmarkEnd w:id="59"/>
    </w:p>
    <w:p w:rsidR="004B5FE8" w:rsidRDefault="004B5FE8" w:rsidP="004B5FE8">
      <w:pPr>
        <w:spacing w:before="240" w:after="240" w:line="360" w:lineRule="auto"/>
      </w:pPr>
      <w:r>
        <w:t>Auch hier ist der Ausschluss von Menschen unter vollumfängliche</w:t>
      </w:r>
      <w:r w:rsidR="00BC5AB8">
        <w:t>r</w:t>
      </w:r>
      <w:r>
        <w:t xml:space="preserve"> gesetzliche</w:t>
      </w:r>
      <w:r w:rsidR="00BC5AB8">
        <w:t>r</w:t>
      </w:r>
      <w:r>
        <w:t xml:space="preserve"> Betreuung von der Kommunalwahl aus den oben genannten Gründen abzuschaffen. Bezüglich der He</w:t>
      </w:r>
      <w:r>
        <w:t>r</w:t>
      </w:r>
      <w:r>
        <w:t>stellung der Wahlschablonen wird auf die Ausführungen zum Landeswahlgesetz verwiesen.</w:t>
      </w:r>
    </w:p>
    <w:p w:rsidR="00C77F76" w:rsidRDefault="004B5FE8" w:rsidP="004B5FE8">
      <w:pPr>
        <w:pStyle w:val="berschrift1"/>
      </w:pPr>
      <w:bookmarkStart w:id="60" w:name="_Toc435013472"/>
      <w:r>
        <w:t xml:space="preserve">Anmerkungen zu Art. 8: Änderung der </w:t>
      </w:r>
      <w:r w:rsidR="0065050B">
        <w:t>Kommunikationshilfeverordnung</w:t>
      </w:r>
      <w:r>
        <w:t xml:space="preserve"> Nordrhein-Westfalen</w:t>
      </w:r>
      <w:bookmarkEnd w:id="60"/>
    </w:p>
    <w:p w:rsidR="004B5FE8" w:rsidRDefault="004B5FE8" w:rsidP="0065050B">
      <w:pPr>
        <w:pStyle w:val="berschrift2"/>
      </w:pPr>
      <w:bookmarkStart w:id="61" w:name="_Toc435013473"/>
      <w:r>
        <w:t>§ 1</w:t>
      </w:r>
      <w:bookmarkEnd w:id="61"/>
    </w:p>
    <w:p w:rsidR="002101ED" w:rsidRDefault="00B9776D" w:rsidP="00F67D3A">
      <w:pPr>
        <w:spacing w:before="240" w:after="240" w:line="360" w:lineRule="auto"/>
      </w:pPr>
      <w:r>
        <w:t xml:space="preserve">Es </w:t>
      </w:r>
      <w:r w:rsidR="004B5FE8">
        <w:t>ist nicht nachvollziehbar, weshalb</w:t>
      </w:r>
      <w:r w:rsidR="0065050B">
        <w:t xml:space="preserve"> nur Menschen mit Hörbehinderung oder Spra</w:t>
      </w:r>
      <w:r w:rsidR="00BC5AB8">
        <w:t>chbehi</w:t>
      </w:r>
      <w:r w:rsidR="00BC5AB8">
        <w:t>n</w:t>
      </w:r>
      <w:r w:rsidR="00BC5AB8">
        <w:t>derung einbezogen sind, notwendig</w:t>
      </w:r>
      <w:r w:rsidR="0065050B">
        <w:t xml:space="preserve"> wäre auch die Einbeziehung von Menschen, die au</w:t>
      </w:r>
      <w:r w:rsidR="0065050B">
        <w:t>f</w:t>
      </w:r>
      <w:r w:rsidR="0065050B">
        <w:t>grund geistiger oder kognitiven Einschränkungen auf leichte Sprache oder ähnliche Komm</w:t>
      </w:r>
      <w:r w:rsidR="0065050B">
        <w:t>u</w:t>
      </w:r>
      <w:r w:rsidR="0065050B">
        <w:t xml:space="preserve">nikationshilfen angewiesen sind. </w:t>
      </w:r>
      <w:r w:rsidR="00BC5AB8">
        <w:t>Dies gilt</w:t>
      </w:r>
      <w:r w:rsidR="0065050B">
        <w:t xml:space="preserve"> auch vor dem Hintergrund des gleichen Zugangs zum Recht aus Art. 12 UN-BRK</w:t>
      </w:r>
      <w:r w:rsidR="00BC5AB8">
        <w:t>.</w:t>
      </w:r>
    </w:p>
    <w:p w:rsidR="0065050B" w:rsidRDefault="002101ED" w:rsidP="00F67D3A">
      <w:pPr>
        <w:spacing w:before="240" w:after="240" w:line="360" w:lineRule="auto"/>
      </w:pPr>
      <w:r>
        <w:t>Bezüglich der Verwendung von leichter Sprache wird auf die allgemeinen Ausführungen zu Beginn dieser Stellungnahme verwiesen.</w:t>
      </w:r>
    </w:p>
    <w:p w:rsidR="0065050B" w:rsidRDefault="0065050B" w:rsidP="00F67D3A">
      <w:pPr>
        <w:spacing w:before="240" w:after="240" w:line="360" w:lineRule="auto"/>
      </w:pPr>
      <w:r>
        <w:t>Positiv hervorzuheben ist die Einbeziehung der elterlichen Sorge gemäß § 1626 BGB.</w:t>
      </w:r>
    </w:p>
    <w:p w:rsidR="0065050B" w:rsidRDefault="0065050B" w:rsidP="0065050B">
      <w:pPr>
        <w:pStyle w:val="berschrift2"/>
      </w:pPr>
      <w:bookmarkStart w:id="62" w:name="_Toc435013474"/>
      <w:r>
        <w:t>§ 2 Abs. 1</w:t>
      </w:r>
      <w:bookmarkEnd w:id="62"/>
    </w:p>
    <w:p w:rsidR="0065050B" w:rsidRDefault="0065050B" w:rsidP="00F67D3A">
      <w:pPr>
        <w:spacing w:before="240" w:after="240" w:line="360" w:lineRule="auto"/>
      </w:pPr>
      <w:r>
        <w:t>Auch hier ist zu bemängeln, dass eine Hörbehinderung oder Sprachbehinderung wesentl</w:t>
      </w:r>
      <w:r>
        <w:t>i</w:t>
      </w:r>
      <w:r>
        <w:t>cher Anknüpfungspunkt ist, während andere Behinderungen wie Lernschwierigkeiten offe</w:t>
      </w:r>
      <w:r>
        <w:t>n</w:t>
      </w:r>
      <w:r>
        <w:t>bar nicht berücksichtigt werden. Kurioserweise sind spezifische Kommunikationsmittel für Menschen mit gravierenden kognitiven Einschränkungen (Bildsymbole) in § 3 Abs. 2 der Ve</w:t>
      </w:r>
      <w:r>
        <w:t>r</w:t>
      </w:r>
      <w:r>
        <w:t>ordnung ausdrücklich vorgesehen.</w:t>
      </w:r>
    </w:p>
    <w:p w:rsidR="0065050B" w:rsidRDefault="0065050B" w:rsidP="0065050B">
      <w:pPr>
        <w:pStyle w:val="berschrift2"/>
      </w:pPr>
      <w:bookmarkStart w:id="63" w:name="_Toc435013475"/>
      <w:r>
        <w:lastRenderedPageBreak/>
        <w:t>§ 2 Abs. 2</w:t>
      </w:r>
      <w:bookmarkEnd w:id="63"/>
    </w:p>
    <w:p w:rsidR="0065050B" w:rsidRDefault="003D4530" w:rsidP="00F67D3A">
      <w:pPr>
        <w:spacing w:before="240" w:after="240" w:line="360" w:lineRule="auto"/>
      </w:pPr>
      <w:r>
        <w:t xml:space="preserve">Es </w:t>
      </w:r>
      <w:r w:rsidR="0065050B">
        <w:t>ist zu begrüßen, dass eine durch den behinderten Menschen ausgewählte Person als Kommunikationsunterstützung zu berücksichtigen ist, fragwürdig ist aber, weshalb dies tei</w:t>
      </w:r>
      <w:r w:rsidR="0065050B">
        <w:t>l</w:t>
      </w:r>
      <w:r w:rsidR="0065050B">
        <w:t>weise bei Menschen mit Lernschwierigkeiten nicht genauso gehandhabt wird.</w:t>
      </w:r>
    </w:p>
    <w:p w:rsidR="0065050B" w:rsidRDefault="0065050B" w:rsidP="0065050B">
      <w:pPr>
        <w:pStyle w:val="berschrift2"/>
      </w:pPr>
      <w:bookmarkStart w:id="64" w:name="_Toc435013476"/>
      <w:r>
        <w:t>§ 2 Abs. 4</w:t>
      </w:r>
      <w:bookmarkEnd w:id="64"/>
    </w:p>
    <w:p w:rsidR="0065050B" w:rsidRDefault="0065050B" w:rsidP="00F67D3A">
      <w:pPr>
        <w:spacing w:before="240" w:after="240" w:line="360" w:lineRule="auto"/>
      </w:pPr>
      <w:r>
        <w:t>Der breite Katalog an möglichen Kommunikationshilfen ist positiv zu bewerten.</w:t>
      </w:r>
    </w:p>
    <w:p w:rsidR="0065050B" w:rsidRDefault="0065050B" w:rsidP="0065050B">
      <w:pPr>
        <w:pStyle w:val="berschrift2"/>
      </w:pPr>
      <w:bookmarkStart w:id="65" w:name="_Toc435013477"/>
      <w:r>
        <w:t>§ 3 Abs. 1 und 2</w:t>
      </w:r>
      <w:bookmarkEnd w:id="65"/>
    </w:p>
    <w:p w:rsidR="009D3615" w:rsidRDefault="00BF7E1E" w:rsidP="009D3615">
      <w:pPr>
        <w:spacing w:before="240" w:after="240" w:line="360" w:lineRule="auto"/>
      </w:pPr>
      <w:r>
        <w:t>In Abs. 2 Nr. 2 wird erfreulicherweise unter d</w:t>
      </w:r>
      <w:r w:rsidR="005817D8">
        <w:t>) die Deutsche Gebärdensprache als mögliche Kommunikationsmethode aufgeführt. Damit erfährt die Deutsche Gebärdensprache eine weitere gesellschaftliche Aufwertung.</w:t>
      </w:r>
    </w:p>
    <w:p w:rsidR="0065050B" w:rsidRDefault="0065050B" w:rsidP="0065050B">
      <w:pPr>
        <w:pStyle w:val="berschrift2"/>
      </w:pPr>
      <w:bookmarkStart w:id="66" w:name="_Toc435013478"/>
      <w:r>
        <w:t>§ 4</w:t>
      </w:r>
      <w:bookmarkEnd w:id="66"/>
    </w:p>
    <w:p w:rsidR="0065050B" w:rsidRDefault="003D4530" w:rsidP="00F67D3A">
      <w:pPr>
        <w:spacing w:before="240" w:after="240" w:line="360" w:lineRule="auto"/>
      </w:pPr>
      <w:r>
        <w:t xml:space="preserve">Scharf zu kritisieren ist der </w:t>
      </w:r>
      <w:r w:rsidR="0065050B">
        <w:t>den Schulen eingeräumten Ressourcenvorbehalt. Auch bei Kap</w:t>
      </w:r>
      <w:r w:rsidR="0065050B">
        <w:t>a</w:t>
      </w:r>
      <w:r w:rsidR="0065050B">
        <w:t>zitätsproblemen wäre zumindest eine Kostenerstattung nötig. Vermutlich ist dieser Ressou</w:t>
      </w:r>
      <w:r w:rsidR="0065050B">
        <w:t>r</w:t>
      </w:r>
      <w:r w:rsidR="0065050B">
        <w:t xml:space="preserve">cenvorbehalt auf die Entscheidung des Bundesverfassungsgerichts </w:t>
      </w:r>
      <w:r w:rsidR="003C49F7">
        <w:rPr>
          <w:rStyle w:val="Funotenzeichen"/>
        </w:rPr>
        <w:footnoteReference w:id="10"/>
      </w:r>
      <w:r w:rsidR="0065050B">
        <w:t xml:space="preserve"> im Zusammenhang mit </w:t>
      </w:r>
      <w:r w:rsidR="003C49F7">
        <w:t xml:space="preserve">dem Diskriminierungsverbot aus </w:t>
      </w:r>
      <w:r w:rsidR="0065050B">
        <w:t xml:space="preserve">Art. 3 Abs. 3 S. 2 GG zu bewerten, in welcher </w:t>
      </w:r>
      <w:r w:rsidR="003C49F7">
        <w:t>die Möglic</w:t>
      </w:r>
      <w:r w:rsidR="003C49F7">
        <w:t>h</w:t>
      </w:r>
      <w:r w:rsidR="003C49F7">
        <w:t xml:space="preserve">keit eines behinderten Kindes zum Besuch einer Regelschule </w:t>
      </w:r>
      <w:r w:rsidR="0065050B">
        <w:t>ebenfalls unter einem Vorb</w:t>
      </w:r>
      <w:r w:rsidR="0065050B">
        <w:t>e</w:t>
      </w:r>
      <w:r w:rsidR="0065050B">
        <w:t>halt der vorhandenen sachlichen und personellen Ressourcen der Schule gestellt wurde. Eine solche Privilegierung der Schule im Bereich der Kommunikationshilfe ist jedoch nicht ang</w:t>
      </w:r>
      <w:r w:rsidR="0065050B">
        <w:t>e</w:t>
      </w:r>
      <w:r w:rsidR="003C49F7">
        <w:t>zeigt und auch nicht mit Art. 24 UN-BRK zu vereinbaren.</w:t>
      </w:r>
    </w:p>
    <w:p w:rsidR="0065050B" w:rsidRDefault="0065050B" w:rsidP="0065050B">
      <w:pPr>
        <w:pStyle w:val="berschrift2"/>
      </w:pPr>
      <w:bookmarkStart w:id="67" w:name="_Toc435013479"/>
      <w:r>
        <w:t>§ 5 Abs. 1 - Abs. 5</w:t>
      </w:r>
      <w:bookmarkEnd w:id="67"/>
    </w:p>
    <w:p w:rsidR="0065050B" w:rsidRDefault="0065050B" w:rsidP="00F67D3A">
      <w:pPr>
        <w:spacing w:before="240" w:after="240" w:line="360" w:lineRule="auto"/>
      </w:pPr>
      <w:r>
        <w:t xml:space="preserve">keine Anmerkungen </w:t>
      </w:r>
    </w:p>
    <w:p w:rsidR="0065050B" w:rsidRDefault="0065050B" w:rsidP="0065050B">
      <w:pPr>
        <w:pStyle w:val="berschrift1"/>
      </w:pPr>
      <w:bookmarkStart w:id="68" w:name="_Toc435013480"/>
      <w:r>
        <w:lastRenderedPageBreak/>
        <w:t>Anmerkungen zu Art. 9: Änderung der Verordnung über barrierefreie Dok</w:t>
      </w:r>
      <w:r>
        <w:t>u</w:t>
      </w:r>
      <w:r>
        <w:t>mente</w:t>
      </w:r>
      <w:bookmarkEnd w:id="68"/>
    </w:p>
    <w:p w:rsidR="0065050B" w:rsidRDefault="0065050B" w:rsidP="00243501">
      <w:pPr>
        <w:pStyle w:val="berschrift2"/>
      </w:pPr>
      <w:bookmarkStart w:id="69" w:name="_Toc435013481"/>
      <w:r>
        <w:t>§ 1 Abs. 2</w:t>
      </w:r>
      <w:bookmarkEnd w:id="69"/>
    </w:p>
    <w:p w:rsidR="0065050B" w:rsidRDefault="0065050B" w:rsidP="00F67D3A">
      <w:pPr>
        <w:spacing w:before="240" w:after="240" w:line="360" w:lineRule="auto"/>
      </w:pPr>
      <w:r>
        <w:t xml:space="preserve">keine Anmerkungen </w:t>
      </w:r>
    </w:p>
    <w:p w:rsidR="0065050B" w:rsidRDefault="0065050B" w:rsidP="00243501">
      <w:pPr>
        <w:pStyle w:val="berschrift2"/>
      </w:pPr>
      <w:bookmarkStart w:id="70" w:name="_Toc435013482"/>
      <w:r>
        <w:t>§ 2</w:t>
      </w:r>
      <w:bookmarkEnd w:id="70"/>
    </w:p>
    <w:p w:rsidR="0065050B" w:rsidRDefault="0065050B" w:rsidP="00F67D3A">
      <w:pPr>
        <w:spacing w:before="240" w:after="240" w:line="360" w:lineRule="auto"/>
      </w:pPr>
      <w:r>
        <w:t xml:space="preserve">keine Anmerkungen </w:t>
      </w:r>
    </w:p>
    <w:p w:rsidR="0065050B" w:rsidRDefault="0065050B" w:rsidP="00243501">
      <w:pPr>
        <w:pStyle w:val="berschrift2"/>
      </w:pPr>
      <w:bookmarkStart w:id="71" w:name="_Toc435013483"/>
      <w:r>
        <w:t>§ 4 S. 1</w:t>
      </w:r>
      <w:bookmarkEnd w:id="71"/>
    </w:p>
    <w:p w:rsidR="00243501" w:rsidRDefault="0065050B" w:rsidP="00F67D3A">
      <w:pPr>
        <w:spacing w:before="240" w:after="240" w:line="360" w:lineRule="auto"/>
      </w:pPr>
      <w:r>
        <w:t>Ausdrücklich auch im Sinne der gleichberechtigten Nutzbarkeit von gesetzlichen Fristen für Widerspruch und Klageerhebung ist die Gleichzeitigkeit der Bekanntgabe von behördlichen Entscheidungen in konventioneller und</w:t>
      </w:r>
      <w:r w:rsidR="00243501">
        <w:t xml:space="preserve"> individuell notwendiger </w:t>
      </w:r>
      <w:r>
        <w:t>Form</w:t>
      </w:r>
      <w:r w:rsidR="00243501">
        <w:t xml:space="preserve"> zu begrüßen. Dadurch wird gewährleistet, dass Menschen mit besonderen Anforderungen an die Barrierefreiheit bei der Kenntnisnahme von Dokumenten die gleichen rechtlichen Möglichkeiten haben wie Menschen ohne Behinderung, soweit es um die Wahrung von Fristen geht.</w:t>
      </w:r>
    </w:p>
    <w:p w:rsidR="00243501" w:rsidRDefault="00243501" w:rsidP="00F67D3A">
      <w:pPr>
        <w:spacing w:before="240" w:after="240" w:line="360" w:lineRule="auto"/>
      </w:pPr>
      <w:r>
        <w:t>Allerdings muss in diesem Zusammenhang auch sichergestellt sein, dass durch die zusätzl</w:t>
      </w:r>
      <w:r>
        <w:t>i</w:t>
      </w:r>
      <w:r>
        <w:t>che Erstellung einer speziell angepassten Form der Dokumente keine Verzögerungen bei der Bearbeitung bzw. Bekanntgabe insgesamt entstehen.</w:t>
      </w:r>
    </w:p>
    <w:p w:rsidR="0065050B" w:rsidRDefault="00243501" w:rsidP="00F67D3A">
      <w:pPr>
        <w:spacing w:before="240" w:after="240" w:line="360" w:lineRule="auto"/>
      </w:pPr>
      <w:r>
        <w:t>Es muss daher gewährleistet sein, dass nicht nur beide Varianten der Dokumente zeitgleich beim Adressaten eintreffen, zu gewährleisten ist auch, dass diese Dokumente mit der gle</w:t>
      </w:r>
      <w:r>
        <w:t>i</w:t>
      </w:r>
      <w:r>
        <w:t>chen Geschwindigkeit erstellt und zugestellt werden wie für einen Menschen ohne Behind</w:t>
      </w:r>
      <w:r>
        <w:t>e</w:t>
      </w:r>
      <w:r>
        <w:t>rung</w:t>
      </w:r>
      <w:r w:rsidR="00BC5AB8">
        <w:t>, für den eine klassische Schwarzschrift-Variante ausreichend ist</w:t>
      </w:r>
      <w:r>
        <w:t>.</w:t>
      </w:r>
    </w:p>
    <w:p w:rsidR="00243501" w:rsidRDefault="00243501" w:rsidP="00243501">
      <w:pPr>
        <w:pStyle w:val="berschrift2"/>
      </w:pPr>
      <w:bookmarkStart w:id="72" w:name="_Toc435013484"/>
      <w:r>
        <w:t>§ 5 Abs. 1 und 2</w:t>
      </w:r>
      <w:bookmarkEnd w:id="72"/>
    </w:p>
    <w:p w:rsidR="00243501" w:rsidRDefault="00243501" w:rsidP="00F67D3A">
      <w:pPr>
        <w:spacing w:before="240" w:after="240" w:line="360" w:lineRule="auto"/>
      </w:pPr>
      <w:r>
        <w:t>Das in § 5 Abs. 2 grundsätzlich anerka</w:t>
      </w:r>
      <w:r w:rsidR="00BC5AB8">
        <w:t>nnte Wunsch- und Wahlrecht des b</w:t>
      </w:r>
      <w:r>
        <w:t>ehinderten Me</w:t>
      </w:r>
      <w:r>
        <w:t>n</w:t>
      </w:r>
      <w:r>
        <w:t>schen wird ausdrücklich begrüßt.</w:t>
      </w:r>
    </w:p>
    <w:p w:rsidR="00243501" w:rsidRDefault="00243501" w:rsidP="00243501">
      <w:pPr>
        <w:pStyle w:val="berschrift1"/>
      </w:pPr>
      <w:bookmarkStart w:id="73" w:name="_Toc435013485"/>
      <w:r>
        <w:lastRenderedPageBreak/>
        <w:t>Anmerkungen zu Art. 10: Aufhebung der Verordnung zum Behindertenbeirat NRW</w:t>
      </w:r>
      <w:bookmarkEnd w:id="73"/>
    </w:p>
    <w:p w:rsidR="00243501" w:rsidRDefault="00243501" w:rsidP="00F67D3A">
      <w:pPr>
        <w:spacing w:before="240" w:after="240" w:line="360" w:lineRule="auto"/>
      </w:pPr>
      <w:r>
        <w:t xml:space="preserve">keine Anmerkungen </w:t>
      </w:r>
    </w:p>
    <w:p w:rsidR="00243501" w:rsidRDefault="00243501" w:rsidP="00243501">
      <w:pPr>
        <w:pStyle w:val="berschrift1"/>
      </w:pPr>
      <w:bookmarkStart w:id="74" w:name="_Toc435013486"/>
      <w:r>
        <w:t>Anmerkungen zu Art. 11: Inkrafttreten</w:t>
      </w:r>
      <w:bookmarkEnd w:id="74"/>
    </w:p>
    <w:p w:rsidR="00243501" w:rsidRDefault="00243501" w:rsidP="00F67D3A">
      <w:pPr>
        <w:spacing w:before="240" w:after="240" w:line="360" w:lineRule="auto"/>
      </w:pPr>
      <w:r>
        <w:t xml:space="preserve">keine Anmerkungen </w:t>
      </w:r>
    </w:p>
    <w:p w:rsidR="006E1D5A" w:rsidRDefault="006E1D5A" w:rsidP="006E1D5A">
      <w:pPr>
        <w:pStyle w:val="berschrift1"/>
      </w:pPr>
      <w:bookmarkStart w:id="75" w:name="_Toc435013487"/>
      <w:r>
        <w:t>Akuter Weiterentwicklungsbedarf</w:t>
      </w:r>
      <w:bookmarkEnd w:id="75"/>
    </w:p>
    <w:p w:rsidR="006E1D5A" w:rsidRDefault="006E1D5A" w:rsidP="00F67D3A">
      <w:pPr>
        <w:spacing w:before="240" w:after="240" w:line="360" w:lineRule="auto"/>
      </w:pPr>
      <w:r>
        <w:t>Wie der Veranstaltung zur Präsentation des Gesetzentwurfs bereits mehrfach dargestellt, handelt es sich um ein erstes Gesetz zur Stärkung der Inklusion.</w:t>
      </w:r>
    </w:p>
    <w:p w:rsidR="00436F97" w:rsidRDefault="006E1D5A" w:rsidP="00F67D3A">
      <w:pPr>
        <w:spacing w:before="240" w:after="240" w:line="360" w:lineRule="auto"/>
      </w:pPr>
      <w:r>
        <w:t xml:space="preserve">Diesem ersten Gesetz müssen weitere folgen, dies muss sehr zeitnah geschehen. </w:t>
      </w:r>
      <w:r w:rsidR="00436F97">
        <w:t>Bereits die Auseinandersetzung mit dem vorliegenden Gesetzentwurf macht deutlich, dass zahlreiche wichtige Themenfelder bislang noch nicht oder nur unzureichend bearbeitet wurden bzw. bearbeitet werden konnten.</w:t>
      </w:r>
    </w:p>
    <w:p w:rsidR="00436F97" w:rsidRDefault="00436F97" w:rsidP="00F67D3A">
      <w:pPr>
        <w:spacing w:before="240" w:after="240" w:line="360" w:lineRule="auto"/>
      </w:pPr>
      <w:r>
        <w:t>Besonders dringlich ist die Modifikation der Landesbauordnung Nordrhein-Westfalen. Die Barrierefreiheit baulicher Anlagen ist ein wesentlicher und unverzichtbarer Bestandteil auf dem Weg zu einer inklusiven Gesellschaft, da diese ohne eine umfassende Barrierefreiheit nicht denkbar ist. Die Bestimmungen im vorliegenden Gesetzentwurf zum BGG NRW bezi</w:t>
      </w:r>
      <w:r>
        <w:t>e</w:t>
      </w:r>
      <w:r>
        <w:t>hen sich allesamt auf die geltenden Rechtsvorschriften, wozu auch die Landesbauordnung gehört. Ohne eine umfassende Neuregelung der Bestimmungen zur Barrierefreiheit in dieser Landesbauordnung werden die damit verbundenen Bestimmungen des BGG NRW keinerlei Wirkung entfalten können.</w:t>
      </w:r>
    </w:p>
    <w:p w:rsidR="006E1D5A" w:rsidRDefault="00436F97" w:rsidP="00F67D3A">
      <w:pPr>
        <w:spacing w:before="240" w:after="240" w:line="360" w:lineRule="auto"/>
      </w:pPr>
      <w:r>
        <w:t>Ebenso dringend erforderlich ist eine Anpassung der Gemeindeordnung Nordrhein-Westfalen. Nur auf diesem Wege ist es möglich, verbindliche Bestimmungen zur Wahrung der Belange von Menschen mit Behinderung auf örtlicher Ebene zu installieren. Die Empfe</w:t>
      </w:r>
      <w:r>
        <w:t>h</w:t>
      </w:r>
      <w:r>
        <w:t>lungen, die in § 13 des Gesetzentwurfs zum neuen BGG NRW festgehalten sind,</w:t>
      </w:r>
      <w:r w:rsidR="008A60B3">
        <w:t xml:space="preserve"> können u</w:t>
      </w:r>
      <w:r w:rsidR="008A60B3">
        <w:t>n</w:t>
      </w:r>
      <w:r w:rsidR="008A60B3">
        <w:t xml:space="preserve">ter den derzeitigen rechtlichen Rahmenbedingungen keinerlei Wirkung entfalten, da die </w:t>
      </w:r>
      <w:r w:rsidR="008A60B3">
        <w:lastRenderedPageBreak/>
        <w:t>kommunale Selbstverwaltung ein wesentliches Strukturprinzip des deutschen Staatsrechts darstellt und von den Städten und Gemeinden entsprechend verteidigt wird.</w:t>
      </w:r>
      <w:r w:rsidR="00BC5AB8">
        <w:t xml:space="preserve"> Man wäre vom guten Willen der jeweiligen Kommune abhängig, ob man diesen Empfehlungen folgt oder nicht, da Empfehlungen keine rechtliche Bindungswirkung zukommt.</w:t>
      </w:r>
    </w:p>
    <w:p w:rsidR="00FC1EDB" w:rsidRDefault="00FC1EDB" w:rsidP="00F67D3A">
      <w:pPr>
        <w:spacing w:before="240" w:after="240" w:line="360" w:lineRule="auto"/>
      </w:pPr>
      <w:r>
        <w:t xml:space="preserve">Zur Umsetzung der Verpflichtung zur Beachtung der Gesetzesziele bei Zuwendungen und sonstigen Leistungen an Dritte sind zudem die Richtlinien über die Vergabe von Aufträgen oder die Bewilligung derartiger Zuwendungen dahin gehend anzupassen, dass die Beachtung der Ziele dieses Gesetzes zwingender Bestandteil der jeweiligen Entscheidung ist und </w:t>
      </w:r>
      <w:r w:rsidR="00BC5AB8">
        <w:t>bei einem</w:t>
      </w:r>
      <w:r>
        <w:t xml:space="preserve"> Zuwiderhandeln die bewilligten Mittel zurückgefordert werden.</w:t>
      </w:r>
    </w:p>
    <w:p w:rsidR="006E1D5A" w:rsidRDefault="006E1D5A" w:rsidP="00F67D3A">
      <w:pPr>
        <w:spacing w:before="240" w:after="240" w:line="360" w:lineRule="auto"/>
      </w:pPr>
      <w:r>
        <w:t>Es wird die Aufgabe der Verbände und Organisationen von Menschen mit Behinderungen sein, diesen Prozess der</w:t>
      </w:r>
      <w:r w:rsidR="008A60B3">
        <w:t xml:space="preserve"> Weiterentwicklung des Rechts zur Stärkung der Sozialen Inklusion kritisch zu begleiten und darauf zu drängen, dass sehr zeitnah weitere Schritte unterno</w:t>
      </w:r>
      <w:r w:rsidR="008A60B3">
        <w:t>m</w:t>
      </w:r>
      <w:r w:rsidR="008A60B3">
        <w:t>men werden, um diesen Prozess voranzutreiben.</w:t>
      </w:r>
    </w:p>
    <w:p w:rsidR="00BC5AB8" w:rsidRDefault="00BC5AB8" w:rsidP="00F67D3A">
      <w:pPr>
        <w:spacing w:before="240" w:after="240" w:line="360" w:lineRule="auto"/>
      </w:pPr>
      <w:r>
        <w:t xml:space="preserve">Das KSL Rheinland </w:t>
      </w:r>
      <w:r w:rsidR="002C62E2">
        <w:t xml:space="preserve">und das Bochumer Zentrum für Disability Studies (BODYS) werden </w:t>
      </w:r>
      <w:r>
        <w:t>sich dieser Aufgabe gerne und mit Nachdruck annehmen.</w:t>
      </w:r>
    </w:p>
    <w:p w:rsidR="008A60B3" w:rsidRDefault="008A60B3" w:rsidP="002C62E2">
      <w:pPr>
        <w:pStyle w:val="berschrift1"/>
      </w:pPr>
      <w:bookmarkStart w:id="76" w:name="_Toc435013488"/>
      <w:r>
        <w:t>Zusammenfassung</w:t>
      </w:r>
      <w:bookmarkEnd w:id="76"/>
    </w:p>
    <w:p w:rsidR="008A3448" w:rsidRDefault="008A60B3" w:rsidP="009D3615">
      <w:pPr>
        <w:keepNext/>
        <w:spacing w:before="240" w:after="240" w:line="360" w:lineRule="auto"/>
      </w:pPr>
      <w:r w:rsidRPr="008A60B3">
        <w:t xml:space="preserve">Das KSL Rheinland </w:t>
      </w:r>
      <w:r w:rsidR="009D3615">
        <w:t xml:space="preserve">und </w:t>
      </w:r>
      <w:r w:rsidR="00DF7300">
        <w:t xml:space="preserve">das Bochumer Zentrum für Disability Studies (BODYS) begrüßen </w:t>
      </w:r>
      <w:r w:rsidRPr="008A60B3">
        <w:t>au</w:t>
      </w:r>
      <w:r w:rsidRPr="008A60B3">
        <w:t>s</w:t>
      </w:r>
      <w:r w:rsidRPr="008A60B3">
        <w:t>drücklich die Initiative der nordrhein-westfälischen Landesregierung zur Schaffung eines G</w:t>
      </w:r>
      <w:r w:rsidRPr="008A60B3">
        <w:t>e</w:t>
      </w:r>
      <w:r w:rsidRPr="008A60B3">
        <w:t>setzes zur Stärkung der Sozialen Inklusion.</w:t>
      </w:r>
      <w:r>
        <w:t xml:space="preserve"> Ganz offensichtlich stellt sich die Landesregierung der Verpflichtung, die UN-BRK wirksam umzusetzen. Hierzu gehört auch die Überführung der Konventionsvorgaben und -leitsätze in landesgesetzliche Bestimmungen.</w:t>
      </w:r>
    </w:p>
    <w:p w:rsidR="008A3448" w:rsidRDefault="008A3448" w:rsidP="008A60B3">
      <w:pPr>
        <w:spacing w:before="240" w:after="240" w:line="360" w:lineRule="auto"/>
      </w:pPr>
    </w:p>
    <w:p w:rsidR="00543FE6" w:rsidRDefault="008A3448" w:rsidP="008A60B3">
      <w:pPr>
        <w:spacing w:before="240" w:after="240" w:line="360" w:lineRule="auto"/>
      </w:pPr>
      <w:r>
        <w:t>Die Ausführungen zu den mit der Umsetzung des Gesetzes entstehenden Kosten sind insg</w:t>
      </w:r>
      <w:r>
        <w:t>e</w:t>
      </w:r>
      <w:r>
        <w:t>samt sehr vage und</w:t>
      </w:r>
      <w:r w:rsidR="00543FE6">
        <w:t xml:space="preserve"> ohne eine gesicherte Datengrundlage. Ganz offensichtlich ist man b</w:t>
      </w:r>
      <w:r w:rsidR="00543FE6">
        <w:t>e</w:t>
      </w:r>
      <w:r w:rsidR="00543FE6">
        <w:t>strebt, hierdurch ebenso wie durch die bewusste Verwendung unscharfer Verpflichtungen, Bedenken gegen das Gesetz wegen befürchteter Kostenexplosionen entgegenzutreten.</w:t>
      </w:r>
    </w:p>
    <w:p w:rsidR="008A60B3" w:rsidRDefault="00DF7300" w:rsidP="008A60B3">
      <w:pPr>
        <w:spacing w:before="240" w:after="240" w:line="360" w:lineRule="auto"/>
      </w:pPr>
      <w:r>
        <w:lastRenderedPageBreak/>
        <w:t xml:space="preserve">Scharf zu kritisieren ist </w:t>
      </w:r>
      <w:r w:rsidR="008149F2">
        <w:t>die kaum vorhandene Verbindlichkeit von Verpflichtungen der Träger öffentlicher Belange zur Förderung und Beachtung der Ziele dieses Gesetzes. Zusätzlich g</w:t>
      </w:r>
      <w:r w:rsidR="008149F2">
        <w:t>e</w:t>
      </w:r>
      <w:r w:rsidR="008149F2">
        <w:t>schwächt wird die Durchsetzungskraft des Gesetzes durch den Verzicht auf Fristsetzungen für die Umsetzung sowie Sanktionen für den Fall eines Zuwiderhandelns.</w:t>
      </w:r>
      <w:r w:rsidR="00677147">
        <w:t xml:space="preserve"> Auch stehen den Verpflichtungen der Träger öffentlicher Belange aus diesem Gesetz keine korrespondiere</w:t>
      </w:r>
      <w:r w:rsidR="00677147">
        <w:t>n</w:t>
      </w:r>
      <w:r w:rsidR="00677147">
        <w:t>den Rechtsansprüche zu Gunsten von Menschen mit Behinderung gegenüber.</w:t>
      </w:r>
    </w:p>
    <w:p w:rsidR="00FD35DE" w:rsidRDefault="00FD35DE" w:rsidP="008A60B3">
      <w:pPr>
        <w:spacing w:before="240" w:after="240" w:line="360" w:lineRule="auto"/>
      </w:pPr>
      <w:r>
        <w:t>Positiv zu bewerten ist die Zielsetzung einer vollen, wirksamen und gleichberechtigten Tei</w:t>
      </w:r>
      <w:r>
        <w:t>l</w:t>
      </w:r>
      <w:r>
        <w:t>habe von Menschen mit Behinderung an der Gesellschaft. Ebenso ist anzuerkennen, dass der Begriff der angemessenen Vorkehrungen in dem Gesetzentwurf aufgenommen wurde und eine Vorenthaltung derartige</w:t>
      </w:r>
      <w:r w:rsidR="00E515C4">
        <w:t>r</w:t>
      </w:r>
      <w:r>
        <w:t xml:space="preserve"> Vorkehrungen als Diskriminierung zu bewerten ist.</w:t>
      </w:r>
    </w:p>
    <w:p w:rsidR="00FD35DE" w:rsidRDefault="00DF7300" w:rsidP="008A60B3">
      <w:pPr>
        <w:spacing w:before="240" w:after="240" w:line="360" w:lineRule="auto"/>
      </w:pPr>
      <w:r>
        <w:t xml:space="preserve">Zudem </w:t>
      </w:r>
      <w:r w:rsidR="00FD35DE">
        <w:t>ist zudem die Einbeziehung von Beliehenen in den Kreis der Verpflichteten zu begr</w:t>
      </w:r>
      <w:r w:rsidR="00FD35DE">
        <w:t>ü</w:t>
      </w:r>
      <w:r w:rsidR="00FD35DE">
        <w:t>ßen. Hingegen sind die Bestimmungen zur Einflussnahme im Wege der privatrechtlichen Beteiligung zu schwach ausgeprägt, indem man sich lediglich auf Mehrheitsbeteiligungen beschränkt.</w:t>
      </w:r>
    </w:p>
    <w:p w:rsidR="00677147" w:rsidRDefault="00677147" w:rsidP="008A60B3">
      <w:pPr>
        <w:spacing w:before="240" w:after="240" w:line="360" w:lineRule="auto"/>
      </w:pPr>
      <w:r>
        <w:t>Notwendig ist auch die Einbeziehung von Anbietern aus dem Bereich der Behindertenhilfe, da sie durch die auch Aufgaben der öffentlichen Daseinsvorsorge übernehmen und demz</w:t>
      </w:r>
      <w:r>
        <w:t>u</w:t>
      </w:r>
      <w:r>
        <w:t>folge ebenfalls auf die Vorgaben der UN-BRK zu verpflichten sind.</w:t>
      </w:r>
    </w:p>
    <w:p w:rsidR="00FD35DE" w:rsidRDefault="00FD35DE" w:rsidP="008A60B3">
      <w:pPr>
        <w:spacing w:before="240" w:after="240" w:line="360" w:lineRule="auto"/>
      </w:pPr>
      <w:r>
        <w:t xml:space="preserve">Die </w:t>
      </w:r>
      <w:r w:rsidR="00677147">
        <w:t>g</w:t>
      </w:r>
      <w:r w:rsidR="00ED76EC">
        <w:t>rundlegende Anerkennung von Elternschaft mit Behinderung</w:t>
      </w:r>
      <w:r>
        <w:t xml:space="preserve"> stellt einen wichtigen Schritt auf dem Weg zur gesellschaftlichen Anerkennung und Wertschätzung einer solchen Elternschaft insgesamt dar. Allerdings leidet dieses grundsätzlich positive Anerkenntnis unter </w:t>
      </w:r>
      <w:r w:rsidR="005549B5">
        <w:t>einer</w:t>
      </w:r>
      <w:r>
        <w:t xml:space="preserve"> schwachen Ausprägungen der Verpflichtungen und der ungesicherten Datenlage zur Bedarfsbemessung.</w:t>
      </w:r>
    </w:p>
    <w:p w:rsidR="00287976" w:rsidRDefault="00FD35DE" w:rsidP="008A60B3">
      <w:pPr>
        <w:spacing w:before="240" w:after="240" w:line="360" w:lineRule="auto"/>
      </w:pPr>
      <w:r>
        <w:t>Bei der Definition von Menschen mit Behinderungen</w:t>
      </w:r>
      <w:r w:rsidR="00DF7300">
        <w:t xml:space="preserve"> ist </w:t>
      </w:r>
      <w:r>
        <w:t>die ansatzweise Anlehnung an die Begrifflichkeiten der UN-BRK</w:t>
      </w:r>
      <w:r w:rsidR="00DF7300">
        <w:t xml:space="preserve"> positiv hervorzuheben</w:t>
      </w:r>
      <w:r>
        <w:t>. Allerdings verkennt der Gesetzentwurf, dass die UN-BRK</w:t>
      </w:r>
      <w:r w:rsidR="00287976">
        <w:t xml:space="preserve"> einen bewusst offenen Behinderungsbegriff verwendet, sodass eine Anpa</w:t>
      </w:r>
      <w:r w:rsidR="00287976">
        <w:t>s</w:t>
      </w:r>
      <w:r w:rsidR="00287976">
        <w:t>sung notwendig ist. Auch sollte in Anlehnung an das SGB IX der Kreis der von Behinderung bedrohten Menschen aufgenommen werden.</w:t>
      </w:r>
    </w:p>
    <w:p w:rsidR="00215A1E" w:rsidRDefault="00215A1E" w:rsidP="008A60B3">
      <w:pPr>
        <w:spacing w:before="240" w:after="240" w:line="360" w:lineRule="auto"/>
      </w:pPr>
      <w:r>
        <w:lastRenderedPageBreak/>
        <w:t>Anzuerkennen ist auch die Ausweitung der Anwendungsbereiche einer Kommunikationshilfe für Menschen mit Hörbehinderung oder Sprachbehinderung. Weshalb man bei Menschen mit Lernschwierigkeiten, die auf eine angepasste Kommunikation etwa in leichter Sprache angewiesen sind, nicht dieselbe Konsequenz angewandt hat, ist nicht nachvollziehbar.</w:t>
      </w:r>
    </w:p>
    <w:p w:rsidR="00215A1E" w:rsidRDefault="00215A1E" w:rsidP="008A60B3">
      <w:pPr>
        <w:spacing w:before="240" w:after="240" w:line="360" w:lineRule="auto"/>
      </w:pPr>
      <w:r>
        <w:t>Die vorgesehene Koordinierungsstelle ist in der Staatskanzlei anzusiedeln, um über die no</w:t>
      </w:r>
      <w:r>
        <w:t>t</w:t>
      </w:r>
      <w:r>
        <w:t>wendige Durchsetzungskraft gegenüber den Landesministerien zu verschaffen.</w:t>
      </w:r>
    </w:p>
    <w:p w:rsidR="00215A1E" w:rsidRDefault="00215A1E" w:rsidP="008A60B3">
      <w:pPr>
        <w:spacing w:before="240" w:after="240" w:line="360" w:lineRule="auto"/>
      </w:pPr>
      <w:r>
        <w:t>Für den Bereich der Beteiligung von Menschen mit Behinderung an den politischen Proze</w:t>
      </w:r>
      <w:r>
        <w:t>s</w:t>
      </w:r>
      <w:r>
        <w:t xml:space="preserve">sen ist auf eine frühzeitige und wirksame Beteiligung zu achten. Auch müssen die Rechte der </w:t>
      </w:r>
      <w:r w:rsidR="00DF7300">
        <w:t>B</w:t>
      </w:r>
      <w:r>
        <w:t>etroffenen gestärkt werden, bis hin zu einem Vetorecht in einzelnen Fragen.</w:t>
      </w:r>
    </w:p>
    <w:p w:rsidR="00DF7300" w:rsidRDefault="00DF7300" w:rsidP="008A60B3">
      <w:pPr>
        <w:spacing w:before="240" w:after="240" w:line="360" w:lineRule="auto"/>
      </w:pPr>
      <w:r>
        <w:t>Die Entscheidung des Gesetzgebers, die Monitoringstelle für das Land Nordrhein-Westfalen beim Deutschen Institut für Menschenrechte anzusiedeln, ist sehr überzeugend.</w:t>
      </w:r>
    </w:p>
    <w:p w:rsidR="00215A1E" w:rsidRDefault="00215A1E" w:rsidP="008A60B3">
      <w:pPr>
        <w:spacing w:before="240" w:after="240" w:line="360" w:lineRule="auto"/>
      </w:pPr>
      <w:r>
        <w:t>Die Berichterstattung zur Situation von Menschen mit Behinderung und die Evaluierung des Gesetzes müssen in kürzeren zeitlichen Abständen erfolgen.</w:t>
      </w:r>
    </w:p>
    <w:p w:rsidR="00215A1E" w:rsidRDefault="00215A1E" w:rsidP="008A60B3">
      <w:pPr>
        <w:spacing w:before="240" w:after="240" w:line="360" w:lineRule="auto"/>
      </w:pPr>
      <w:r>
        <w:t>Der Begriff der Barrierefreiheit ist übergreifend über diese drei Komponenten der Auffin</w:t>
      </w:r>
      <w:r>
        <w:t>d</w:t>
      </w:r>
      <w:r>
        <w:t>barkeit, Zugänglichkeit und der Nutzbarkeit zu definieren.</w:t>
      </w:r>
    </w:p>
    <w:p w:rsidR="00215A1E" w:rsidRDefault="00215A1E" w:rsidP="008A60B3">
      <w:pPr>
        <w:spacing w:before="240" w:after="240" w:line="360" w:lineRule="auto"/>
      </w:pPr>
      <w:r>
        <w:t>Zu begrüßen ist die Übernahme zahlreicher Grundgedanken des Allgemeinen Gleichbehan</w:t>
      </w:r>
      <w:r>
        <w:t>d</w:t>
      </w:r>
      <w:r>
        <w:t xml:space="preserve">lungsgesetzes (AGG), </w:t>
      </w:r>
      <w:r w:rsidR="005549B5">
        <w:t>es fehlen aber entsprechende Sanktionen</w:t>
      </w:r>
      <w:r>
        <w:t>.</w:t>
      </w:r>
    </w:p>
    <w:p w:rsidR="00215A1E" w:rsidRDefault="00215A1E" w:rsidP="008A60B3">
      <w:pPr>
        <w:spacing w:before="240" w:after="240" w:line="360" w:lineRule="auto"/>
      </w:pPr>
      <w:r>
        <w:t>Das Instrument der Zielvereinbarung ist unterstützend zu begleiten und auszuweiten. Die Erweiterung der Klagemöglichkeiten auch in Richtung einer Verpflichtungsklage werden au</w:t>
      </w:r>
      <w:r>
        <w:t>s</w:t>
      </w:r>
      <w:r>
        <w:t>drücklich begrüßt.</w:t>
      </w:r>
    </w:p>
    <w:p w:rsidR="00215A1E" w:rsidRDefault="00215A1E" w:rsidP="008A60B3">
      <w:pPr>
        <w:spacing w:before="240" w:after="240" w:line="360" w:lineRule="auto"/>
      </w:pPr>
      <w:r>
        <w:t>Die Verbesserung bei dem Recht auf Gestaltung von Bescheiden und anderen behördlichen Schriftstücken</w:t>
      </w:r>
      <w:r w:rsidRPr="00215A1E">
        <w:t xml:space="preserve"> </w:t>
      </w:r>
      <w:r>
        <w:t>in einer zugänglichen Form werden ausdrücklich begrüßt. Auch hierbei ist auf eine Stärkung der leichten Sprache und auf eine Gleichbehandlung gegenüber anderen Kommunikationsformen zu achten.</w:t>
      </w:r>
    </w:p>
    <w:p w:rsidR="00215A1E" w:rsidRDefault="00215A1E" w:rsidP="008A60B3">
      <w:pPr>
        <w:spacing w:before="240" w:after="240" w:line="360" w:lineRule="auto"/>
      </w:pPr>
      <w:r>
        <w:lastRenderedPageBreak/>
        <w:t>Die Bestimmungen zur Etablierung kommunaler Behindertenbeauftragter oder vergleichb</w:t>
      </w:r>
      <w:r>
        <w:t>a</w:t>
      </w:r>
      <w:r>
        <w:t>re Institutionen sind ohne Änderungen der der Gemeindeordnung nicht zu realisieren. Äh</w:t>
      </w:r>
      <w:r>
        <w:t>n</w:t>
      </w:r>
      <w:r>
        <w:t>lich verhält es sich mit der Schaffung von Barrierefreiheit im baulichen Anlagen, die ohne eine Modifikation der Landesbauordnung nicht erreicht werden kann.</w:t>
      </w:r>
    </w:p>
    <w:p w:rsidR="00215A1E" w:rsidRDefault="00215A1E" w:rsidP="008A60B3">
      <w:pPr>
        <w:spacing w:before="240" w:after="240" w:line="360" w:lineRule="auto"/>
      </w:pPr>
      <w:r>
        <w:t>Bezüglich des Landesausführungsgesetzes zum SGB XII wird die Klarstellung bezüglich der Zuständigkeitsverteilung ausdrücklich begrüßt. Zu kritisieren ist jedoch der Verzicht auf die Ermächtigung zur Festlegung eines höheren Grundbetrages bei der Anrechnung von Ei</w:t>
      </w:r>
      <w:r>
        <w:t>n</w:t>
      </w:r>
      <w:r>
        <w:t>kommen durch das System der Sozialhilfe.</w:t>
      </w:r>
    </w:p>
    <w:p w:rsidR="00215A1E" w:rsidRDefault="00215A1E" w:rsidP="008A60B3">
      <w:pPr>
        <w:spacing w:before="240" w:after="240" w:line="360" w:lineRule="auto"/>
      </w:pPr>
      <w:r>
        <w:t>Die vorgesehene Fachkommission sollte sich ausdrücklich nicht nur auf die Eingliederungshi</w:t>
      </w:r>
      <w:r>
        <w:t>l</w:t>
      </w:r>
      <w:r>
        <w:t>fe, sondern zumindest auch auf die aufstockende Hilfe zur Pflege (derzeit im Sozialhilferecht geregelte) beziehen. Nur so ist eine ganzheitliche Betrachtung der Lebenssituation der B</w:t>
      </w:r>
      <w:r>
        <w:t>e</w:t>
      </w:r>
      <w:r>
        <w:t>troffenen möglich.</w:t>
      </w:r>
    </w:p>
    <w:p w:rsidR="0088256D" w:rsidRDefault="00215A1E" w:rsidP="008A60B3">
      <w:pPr>
        <w:spacing w:before="240" w:after="240" w:line="360" w:lineRule="auto"/>
      </w:pPr>
      <w:r>
        <w:t>Für den Bereich der Kinderbildung und der Schule</w:t>
      </w:r>
      <w:r w:rsidR="0088256D">
        <w:t xml:space="preserve"> verwundert die Ungleichbehandlung für Eltern mit Lernschwierigkeiten, hier wäre eine Vereinheitlichung nach den Maßstäben des Schulgesetzes geboten.</w:t>
      </w:r>
    </w:p>
    <w:p w:rsidR="0088256D" w:rsidRDefault="0088256D" w:rsidP="008A60B3">
      <w:pPr>
        <w:spacing w:before="240" w:after="240" w:line="360" w:lineRule="auto"/>
      </w:pPr>
      <w:r>
        <w:t>Der Ausschluss vom Wahlrecht für Menschen unter vollständiger gesetzlicher Betreuung ist aufzuheben.</w:t>
      </w:r>
    </w:p>
    <w:p w:rsidR="0088256D" w:rsidRDefault="0088256D" w:rsidP="008A60B3">
      <w:pPr>
        <w:spacing w:before="240" w:after="240" w:line="360" w:lineRule="auto"/>
      </w:pPr>
      <w:r>
        <w:t>Abschließend</w:t>
      </w:r>
      <w:r w:rsidR="006E0EB7">
        <w:t xml:space="preserve"> </w:t>
      </w:r>
      <w:r w:rsidR="00DF7300">
        <w:t>wird darum gebeten</w:t>
      </w:r>
      <w:r>
        <w:t>, die aufgezeigten Kritikpunkte umzusetzen und in eine Überarbeitung des Gesetzentwurfs einzupflegen.</w:t>
      </w:r>
    </w:p>
    <w:p w:rsidR="0088256D" w:rsidRDefault="0088256D" w:rsidP="008A60B3">
      <w:pPr>
        <w:spacing w:before="240" w:after="240" w:line="360" w:lineRule="auto"/>
      </w:pPr>
      <w:r>
        <w:t xml:space="preserve">Schließlich </w:t>
      </w:r>
      <w:r w:rsidR="000A56E8">
        <w:t xml:space="preserve">möchten sich die Unterzeichnenden </w:t>
      </w:r>
      <w:r>
        <w:t>für die Möglichkeit, zu diesem Gesetzen</w:t>
      </w:r>
      <w:r>
        <w:t>t</w:t>
      </w:r>
      <w:r>
        <w:t>wurf Stellung zu nehmen</w:t>
      </w:r>
      <w:r w:rsidR="000A56E8">
        <w:t>, bedanken und stehen</w:t>
      </w:r>
      <w:r>
        <w:t xml:space="preserve"> für weitere Rückfragen jederzeit zur Verf</w:t>
      </w:r>
      <w:r>
        <w:t>ü</w:t>
      </w:r>
      <w:r>
        <w:t>gung.</w:t>
      </w:r>
    </w:p>
    <w:p w:rsidR="00677147" w:rsidRDefault="00677147" w:rsidP="008A60B3">
      <w:pPr>
        <w:spacing w:before="240" w:after="240" w:line="360" w:lineRule="auto"/>
      </w:pPr>
    </w:p>
    <w:p w:rsidR="00E515C4" w:rsidRDefault="0088256D" w:rsidP="008A60B3">
      <w:pPr>
        <w:spacing w:before="240" w:after="240" w:line="360" w:lineRule="auto"/>
      </w:pPr>
      <w:r>
        <w:t xml:space="preserve">Köln, </w:t>
      </w:r>
      <w:r w:rsidR="002A2BBD">
        <w:t xml:space="preserve">Bochum, </w:t>
      </w:r>
      <w:r w:rsidR="007770D8">
        <w:t>10</w:t>
      </w:r>
      <w:r>
        <w:t xml:space="preserve">. </w:t>
      </w:r>
      <w:r w:rsidR="00DF7300">
        <w:t>November 2015</w:t>
      </w:r>
    </w:p>
    <w:p w:rsidR="00243501" w:rsidRDefault="00243501" w:rsidP="00F67D3A">
      <w:pPr>
        <w:spacing w:before="240" w:after="240" w:line="360" w:lineRule="auto"/>
      </w:pPr>
    </w:p>
    <w:sectPr w:rsidR="00243501" w:rsidSect="00EC6781">
      <w:headerReference w:type="default" r:id="rId8"/>
      <w:footerReference w:type="default" r:id="rId9"/>
      <w:headerReference w:type="first" r:id="rId10"/>
      <w:footerReference w:type="first" r:id="rId11"/>
      <w:pgSz w:w="11906" w:h="16838"/>
      <w:pgMar w:top="1134" w:right="1418" w:bottom="1134" w:left="1418"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C9B" w:rsidRDefault="00E31C9B" w:rsidP="003B6E56">
      <w:r>
        <w:separator/>
      </w:r>
    </w:p>
  </w:endnote>
  <w:endnote w:type="continuationSeparator" w:id="0">
    <w:p w:rsidR="00E31C9B" w:rsidRDefault="00E31C9B" w:rsidP="003B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w Cen MT Condensed Extra Bold">
    <w:panose1 w:val="020B0803020202020204"/>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5400"/>
      <w:gridCol w:w="1995"/>
    </w:tblGrid>
    <w:tr w:rsidR="00B01159" w:rsidTr="00721798">
      <w:tc>
        <w:tcPr>
          <w:tcW w:w="10204" w:type="dxa"/>
          <w:gridSpan w:val="3"/>
          <w:tcBorders>
            <w:top w:val="single" w:sz="4" w:space="0" w:color="auto"/>
          </w:tcBorders>
          <w:vAlign w:val="center"/>
        </w:tcPr>
        <w:p w:rsidR="00B01159" w:rsidRDefault="00B01159" w:rsidP="000177D5">
          <w:pPr>
            <w:pStyle w:val="Fuzeile"/>
            <w:tabs>
              <w:tab w:val="clear" w:pos="4536"/>
              <w:tab w:val="clear" w:pos="9072"/>
              <w:tab w:val="right" w:pos="1760"/>
            </w:tabs>
            <w:jc w:val="left"/>
            <w:rPr>
              <w:rFonts w:ascii="Tw Cen MT Condensed Extra Bold" w:hAnsi="Tw Cen MT Condensed Extra Bold"/>
            </w:rPr>
          </w:pPr>
        </w:p>
      </w:tc>
    </w:tr>
    <w:tr w:rsidR="00B01159" w:rsidTr="00AA7886">
      <w:tc>
        <w:tcPr>
          <w:tcW w:w="2040" w:type="dxa"/>
          <w:tcMar>
            <w:left w:w="108" w:type="dxa"/>
          </w:tcMar>
          <w:vAlign w:val="center"/>
        </w:tcPr>
        <w:p w:rsidR="00B01159" w:rsidRPr="000177D5" w:rsidRDefault="00B01159" w:rsidP="000177D5">
          <w:pPr>
            <w:pStyle w:val="Fuzeile"/>
            <w:tabs>
              <w:tab w:val="clear" w:pos="4536"/>
              <w:tab w:val="clear" w:pos="9072"/>
            </w:tabs>
            <w:jc w:val="left"/>
            <w:rPr>
              <w:rFonts w:ascii="Tw Cen MT Condensed Extra Bold" w:hAnsi="Tw Cen MT Condensed Extra Bold"/>
            </w:rPr>
          </w:pPr>
          <w:r>
            <w:rPr>
              <w:noProof/>
              <w:lang w:eastAsia="de-DE"/>
            </w:rPr>
            <w:drawing>
              <wp:inline distT="0" distB="0" distL="0" distR="0" wp14:anchorId="3614A2A9" wp14:editId="50B109EE">
                <wp:extent cx="400298" cy="324000"/>
                <wp:effectExtent l="0" t="0" r="0" b="0"/>
                <wp:docPr id="1" name="Grafik 1" descr="selbstbestimmt lebe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bstbestimmt leben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298" cy="324000"/>
                        </a:xfrm>
                        <a:prstGeom prst="rect">
                          <a:avLst/>
                        </a:prstGeom>
                        <a:noFill/>
                        <a:ln>
                          <a:noFill/>
                        </a:ln>
                      </pic:spPr>
                    </pic:pic>
                  </a:graphicData>
                </a:graphic>
              </wp:inline>
            </w:drawing>
          </w:r>
        </w:p>
      </w:tc>
      <w:tc>
        <w:tcPr>
          <w:tcW w:w="6123" w:type="dxa"/>
          <w:vAlign w:val="center"/>
        </w:tcPr>
        <w:p w:rsidR="00B01159" w:rsidRPr="00BD00E6" w:rsidRDefault="00B01159" w:rsidP="00EC6781">
          <w:pPr>
            <w:pStyle w:val="Fuzeile"/>
            <w:tabs>
              <w:tab w:val="clear" w:pos="4536"/>
              <w:tab w:val="clear" w:pos="9072"/>
            </w:tabs>
            <w:jc w:val="center"/>
            <w:rPr>
              <w:rFonts w:ascii="Tw Cen MT Condensed" w:hAnsi="Tw Cen MT Condensed"/>
            </w:rPr>
          </w:pPr>
          <w:r>
            <w:rPr>
              <w:rFonts w:ascii="Tw Cen MT Condensed" w:hAnsi="Tw Cen MT Condensed"/>
            </w:rPr>
            <w:t xml:space="preserve">– </w:t>
          </w:r>
          <w:r w:rsidRPr="00EC6781">
            <w:rPr>
              <w:rFonts w:ascii="Tw Cen MT Condensed" w:hAnsi="Tw Cen MT Condensed"/>
            </w:rPr>
            <w:fldChar w:fldCharType="begin"/>
          </w:r>
          <w:r w:rsidRPr="00EC6781">
            <w:rPr>
              <w:rFonts w:ascii="Tw Cen MT Condensed" w:hAnsi="Tw Cen MT Condensed"/>
            </w:rPr>
            <w:instrText>PAGE   \* MERGEFORMAT</w:instrText>
          </w:r>
          <w:r w:rsidRPr="00EC6781">
            <w:rPr>
              <w:rFonts w:ascii="Tw Cen MT Condensed" w:hAnsi="Tw Cen MT Condensed"/>
            </w:rPr>
            <w:fldChar w:fldCharType="separate"/>
          </w:r>
          <w:r w:rsidR="000943A7">
            <w:rPr>
              <w:rFonts w:ascii="Tw Cen MT Condensed" w:hAnsi="Tw Cen MT Condensed"/>
              <w:noProof/>
            </w:rPr>
            <w:t>3</w:t>
          </w:r>
          <w:r w:rsidRPr="00EC6781">
            <w:rPr>
              <w:rFonts w:ascii="Tw Cen MT Condensed" w:hAnsi="Tw Cen MT Condensed"/>
            </w:rPr>
            <w:fldChar w:fldCharType="end"/>
          </w:r>
          <w:r>
            <w:rPr>
              <w:rFonts w:ascii="Tw Cen MT Condensed" w:hAnsi="Tw Cen MT Condensed"/>
            </w:rPr>
            <w:t xml:space="preserve"> –</w:t>
          </w:r>
        </w:p>
      </w:tc>
      <w:tc>
        <w:tcPr>
          <w:tcW w:w="2041" w:type="dxa"/>
          <w:vAlign w:val="center"/>
        </w:tcPr>
        <w:p w:rsidR="00B01159" w:rsidRPr="000177D5" w:rsidRDefault="00B01159" w:rsidP="00BD00E6">
          <w:pPr>
            <w:pStyle w:val="Fuzeile"/>
            <w:tabs>
              <w:tab w:val="clear" w:pos="4536"/>
              <w:tab w:val="clear" w:pos="9072"/>
            </w:tabs>
            <w:jc w:val="right"/>
            <w:rPr>
              <w:rFonts w:ascii="Tw Cen MT Condensed Extra Bold" w:hAnsi="Tw Cen MT Condensed Extra Bold"/>
            </w:rPr>
          </w:pPr>
          <w:r w:rsidRPr="000177D5">
            <w:rPr>
              <w:rFonts w:ascii="Tw Cen MT Condensed Extra Bold" w:hAnsi="Tw Cen MT Condensed Extra Bold"/>
              <w:noProof/>
              <w:lang w:eastAsia="de-DE"/>
            </w:rPr>
            <w:drawing>
              <wp:inline distT="0" distB="0" distL="0" distR="0" wp14:anchorId="32D6D5D0" wp14:editId="76D56B0B">
                <wp:extent cx="925285" cy="232776"/>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l.bmp"/>
                        <pic:cNvPicPr/>
                      </pic:nvPicPr>
                      <pic:blipFill>
                        <a:blip r:embed="rId2">
                          <a:extLst>
                            <a:ext uri="{28A0092B-C50C-407E-A947-70E740481C1C}">
                              <a14:useLocalDpi xmlns:a14="http://schemas.microsoft.com/office/drawing/2010/main" val="0"/>
                            </a:ext>
                          </a:extLst>
                        </a:blip>
                        <a:stretch>
                          <a:fillRect/>
                        </a:stretch>
                      </pic:blipFill>
                      <pic:spPr>
                        <a:xfrm>
                          <a:off x="0" y="0"/>
                          <a:ext cx="925496" cy="232829"/>
                        </a:xfrm>
                        <a:prstGeom prst="rect">
                          <a:avLst/>
                        </a:prstGeom>
                      </pic:spPr>
                    </pic:pic>
                  </a:graphicData>
                </a:graphic>
              </wp:inline>
            </w:drawing>
          </w:r>
        </w:p>
      </w:tc>
    </w:tr>
  </w:tbl>
  <w:p w:rsidR="00B01159" w:rsidRDefault="00B01159">
    <w:pPr>
      <w:pStyle w:val="Fuzeile"/>
    </w:pPr>
  </w:p>
  <w:p w:rsidR="00B01159" w:rsidRDefault="00B0115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159" w:rsidRDefault="00B01159" w:rsidP="006C5CDE">
    <w:pPr>
      <w:pStyle w:val="Fuzeile"/>
      <w:tabs>
        <w:tab w:val="clear" w:pos="4536"/>
        <w:tab w:val="clear" w:pos="9072"/>
      </w:tabs>
      <w:jc w:val="center"/>
      <w:rPr>
        <w:rFonts w:ascii="Tw Cen MT Condensed" w:hAnsi="Tw Cen MT Condensed"/>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433"/>
      <w:gridCol w:w="1987"/>
    </w:tblGrid>
    <w:tr w:rsidR="00B01159" w:rsidTr="0032533E">
      <w:tc>
        <w:tcPr>
          <w:tcW w:w="10204" w:type="dxa"/>
          <w:gridSpan w:val="3"/>
          <w:tcBorders>
            <w:top w:val="single" w:sz="4" w:space="0" w:color="auto"/>
          </w:tcBorders>
          <w:vAlign w:val="center"/>
        </w:tcPr>
        <w:p w:rsidR="00B01159" w:rsidRDefault="00B01159" w:rsidP="0032533E">
          <w:pPr>
            <w:pStyle w:val="Fuzeile"/>
            <w:tabs>
              <w:tab w:val="clear" w:pos="4536"/>
              <w:tab w:val="clear" w:pos="9072"/>
              <w:tab w:val="right" w:pos="1760"/>
            </w:tabs>
            <w:jc w:val="left"/>
            <w:rPr>
              <w:rFonts w:ascii="Tw Cen MT Condensed Extra Bold" w:hAnsi="Tw Cen MT Condensed Extra Bold"/>
            </w:rPr>
          </w:pPr>
        </w:p>
      </w:tc>
    </w:tr>
    <w:tr w:rsidR="00B01159" w:rsidTr="0032533E">
      <w:tc>
        <w:tcPr>
          <w:tcW w:w="2040" w:type="dxa"/>
          <w:tcMar>
            <w:left w:w="108" w:type="dxa"/>
          </w:tcMar>
          <w:vAlign w:val="center"/>
        </w:tcPr>
        <w:p w:rsidR="00B01159" w:rsidRPr="000177D5" w:rsidRDefault="00B01159" w:rsidP="0032533E">
          <w:pPr>
            <w:pStyle w:val="Fuzeile"/>
            <w:tabs>
              <w:tab w:val="clear" w:pos="4536"/>
              <w:tab w:val="clear" w:pos="9072"/>
            </w:tabs>
            <w:jc w:val="left"/>
            <w:rPr>
              <w:rFonts w:ascii="Tw Cen MT Condensed Extra Bold" w:hAnsi="Tw Cen MT Condensed Extra Bold"/>
            </w:rPr>
          </w:pPr>
          <w:r>
            <w:rPr>
              <w:noProof/>
              <w:lang w:eastAsia="de-DE"/>
            </w:rPr>
            <w:drawing>
              <wp:inline distT="0" distB="0" distL="0" distR="0" wp14:anchorId="6931C231" wp14:editId="34F3B169">
                <wp:extent cx="400298" cy="324000"/>
                <wp:effectExtent l="0" t="0" r="0" b="0"/>
                <wp:docPr id="9" name="Grafik 9" descr="selbstbestimmt lebe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bstbestimmt leben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298" cy="324000"/>
                        </a:xfrm>
                        <a:prstGeom prst="rect">
                          <a:avLst/>
                        </a:prstGeom>
                        <a:noFill/>
                        <a:ln>
                          <a:noFill/>
                        </a:ln>
                      </pic:spPr>
                    </pic:pic>
                  </a:graphicData>
                </a:graphic>
              </wp:inline>
            </w:drawing>
          </w:r>
        </w:p>
      </w:tc>
      <w:tc>
        <w:tcPr>
          <w:tcW w:w="6123" w:type="dxa"/>
          <w:vAlign w:val="center"/>
        </w:tcPr>
        <w:p w:rsidR="00B01159" w:rsidRDefault="00B01159" w:rsidP="006C5CDE">
          <w:pPr>
            <w:pStyle w:val="Fuzeile"/>
            <w:tabs>
              <w:tab w:val="clear" w:pos="4536"/>
              <w:tab w:val="clear" w:pos="9072"/>
            </w:tabs>
            <w:jc w:val="center"/>
            <w:rPr>
              <w:rFonts w:ascii="Tw Cen MT Condensed" w:hAnsi="Tw Cen MT Condensed"/>
            </w:rPr>
          </w:pPr>
          <w:r w:rsidRPr="00BD00E6">
            <w:rPr>
              <w:rFonts w:ascii="Tw Cen MT Condensed" w:hAnsi="Tw Cen MT Condensed"/>
            </w:rPr>
            <w:t>Projektträger für das Rheinland</w:t>
          </w:r>
          <w:r>
            <w:rPr>
              <w:rFonts w:ascii="Tw Cen MT Condensed" w:hAnsi="Tw Cen MT Condensed"/>
            </w:rPr>
            <w:t>:</w:t>
          </w:r>
        </w:p>
        <w:p w:rsidR="00B01159" w:rsidRPr="00BD00E6" w:rsidRDefault="00B01159" w:rsidP="006C5CDE">
          <w:pPr>
            <w:pStyle w:val="Fuzeile"/>
            <w:tabs>
              <w:tab w:val="clear" w:pos="4536"/>
              <w:tab w:val="clear" w:pos="9072"/>
            </w:tabs>
            <w:jc w:val="center"/>
            <w:rPr>
              <w:rFonts w:ascii="Tw Cen MT Condensed" w:hAnsi="Tw Cen MT Condensed"/>
            </w:rPr>
          </w:pPr>
          <w:r>
            <w:rPr>
              <w:rFonts w:ascii="Tw Cen MT Condensed" w:hAnsi="Tw Cen MT Condensed"/>
            </w:rPr>
            <w:t>„Selbstbestimmt Leben“ Behinderter Köln e. V.</w:t>
          </w:r>
        </w:p>
      </w:tc>
      <w:tc>
        <w:tcPr>
          <w:tcW w:w="2041" w:type="dxa"/>
          <w:vAlign w:val="center"/>
        </w:tcPr>
        <w:p w:rsidR="00B01159" w:rsidRPr="000177D5" w:rsidRDefault="00B01159" w:rsidP="0032533E">
          <w:pPr>
            <w:pStyle w:val="Fuzeile"/>
            <w:tabs>
              <w:tab w:val="clear" w:pos="4536"/>
              <w:tab w:val="clear" w:pos="9072"/>
            </w:tabs>
            <w:jc w:val="right"/>
            <w:rPr>
              <w:rFonts w:ascii="Tw Cen MT Condensed Extra Bold" w:hAnsi="Tw Cen MT Condensed Extra Bold"/>
            </w:rPr>
          </w:pPr>
          <w:r w:rsidRPr="000177D5">
            <w:rPr>
              <w:rFonts w:ascii="Tw Cen MT Condensed Extra Bold" w:hAnsi="Tw Cen MT Condensed Extra Bold"/>
              <w:noProof/>
              <w:lang w:eastAsia="de-DE"/>
            </w:rPr>
            <w:drawing>
              <wp:inline distT="0" distB="0" distL="0" distR="0" wp14:anchorId="03E9DA4C" wp14:editId="3D683E39">
                <wp:extent cx="925285" cy="23277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l.bmp"/>
                        <pic:cNvPicPr/>
                      </pic:nvPicPr>
                      <pic:blipFill>
                        <a:blip r:embed="rId2">
                          <a:extLst>
                            <a:ext uri="{28A0092B-C50C-407E-A947-70E740481C1C}">
                              <a14:useLocalDpi xmlns:a14="http://schemas.microsoft.com/office/drawing/2010/main" val="0"/>
                            </a:ext>
                          </a:extLst>
                        </a:blip>
                        <a:stretch>
                          <a:fillRect/>
                        </a:stretch>
                      </pic:blipFill>
                      <pic:spPr>
                        <a:xfrm>
                          <a:off x="0" y="0"/>
                          <a:ext cx="925496" cy="232829"/>
                        </a:xfrm>
                        <a:prstGeom prst="rect">
                          <a:avLst/>
                        </a:prstGeom>
                      </pic:spPr>
                    </pic:pic>
                  </a:graphicData>
                </a:graphic>
              </wp:inline>
            </w:drawing>
          </w:r>
        </w:p>
      </w:tc>
    </w:tr>
  </w:tbl>
  <w:p w:rsidR="00B01159" w:rsidRDefault="00B01159" w:rsidP="006C5CDE">
    <w:pPr>
      <w:pStyle w:val="Fuzeile"/>
      <w:tabs>
        <w:tab w:val="clear" w:pos="4536"/>
        <w:tab w:val="clear" w:pos="9072"/>
      </w:tabs>
      <w:rPr>
        <w:rFonts w:ascii="Tw Cen MT Condensed" w:hAnsi="Tw Cen MT Condensed"/>
      </w:rPr>
    </w:pPr>
  </w:p>
  <w:p w:rsidR="00B01159" w:rsidRDefault="00B01159" w:rsidP="006C5C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C9B" w:rsidRDefault="00E31C9B" w:rsidP="003B6E56">
      <w:r>
        <w:separator/>
      </w:r>
    </w:p>
  </w:footnote>
  <w:footnote w:type="continuationSeparator" w:id="0">
    <w:p w:rsidR="00E31C9B" w:rsidRDefault="00E31C9B" w:rsidP="003B6E56">
      <w:r>
        <w:continuationSeparator/>
      </w:r>
    </w:p>
  </w:footnote>
  <w:footnote w:id="1">
    <w:p w:rsidR="00B01159" w:rsidRDefault="00B01159">
      <w:pPr>
        <w:pStyle w:val="Funotentext"/>
      </w:pPr>
      <w:r>
        <w:rPr>
          <w:rStyle w:val="Funotenzeichen"/>
        </w:rPr>
        <w:footnoteRef/>
      </w:r>
      <w:r>
        <w:t xml:space="preserve"> vgl. Drucks. 16/9761, Seite 3.</w:t>
      </w:r>
    </w:p>
  </w:footnote>
  <w:footnote w:id="2">
    <w:p w:rsidR="00B01159" w:rsidRDefault="00B01159">
      <w:pPr>
        <w:pStyle w:val="Funotentext"/>
      </w:pPr>
      <w:r>
        <w:rPr>
          <w:rStyle w:val="Funotenzeichen"/>
        </w:rPr>
        <w:footnoteRef/>
      </w:r>
      <w:r>
        <w:t xml:space="preserve"> vgl. Drucks. 16/9761, Seite 1.</w:t>
      </w:r>
    </w:p>
  </w:footnote>
  <w:footnote w:id="3">
    <w:p w:rsidR="00B01159" w:rsidRDefault="00B01159">
      <w:pPr>
        <w:pStyle w:val="Funotentext"/>
      </w:pPr>
      <w:r>
        <w:rPr>
          <w:rStyle w:val="Funotenzeichen"/>
        </w:rPr>
        <w:footnoteRef/>
      </w:r>
      <w:r>
        <w:t xml:space="preserve"> vgl. Drucks. 16/9761, Seite 67.</w:t>
      </w:r>
    </w:p>
  </w:footnote>
  <w:footnote w:id="4">
    <w:p w:rsidR="00B01159" w:rsidRDefault="00B01159">
      <w:pPr>
        <w:pStyle w:val="Funotentext"/>
      </w:pPr>
      <w:r w:rsidRPr="00B01159">
        <w:rPr>
          <w:rStyle w:val="Funotenzeichen"/>
        </w:rPr>
        <w:footnoteRef/>
      </w:r>
      <w:r w:rsidRPr="00B01159">
        <w:t xml:space="preserve"> </w:t>
      </w:r>
      <w:hyperlink r:id="rId1" w:history="1">
        <w:r w:rsidRPr="00B01159">
          <w:rPr>
            <w:rStyle w:val="Hyperlink"/>
            <w:rFonts w:ascii="Segoe UI" w:hAnsi="Segoe UI" w:cs="Segoe UI"/>
            <w:color w:val="auto"/>
            <w:u w:val="none"/>
          </w:rPr>
          <w:t>http://www.netzwerk-artikel-3.de/index.php?view=article&amp;id=93:international-schattenuebersetzung</w:t>
        </w:r>
      </w:hyperlink>
      <w:r w:rsidRPr="00B01159">
        <w:rPr>
          <w:rFonts w:ascii="Segoe UI" w:hAnsi="Segoe UI" w:cs="Segoe UI"/>
        </w:rPr>
        <w:t xml:space="preserve"> </w:t>
      </w:r>
      <w:r>
        <w:rPr>
          <w:rFonts w:ascii="Segoe UI" w:hAnsi="Segoe UI" w:cs="Segoe UI"/>
          <w:color w:val="000000"/>
        </w:rPr>
        <w:t>(Aufruf 10. Nov. 2015)</w:t>
      </w:r>
    </w:p>
  </w:footnote>
  <w:footnote w:id="5">
    <w:p w:rsidR="00B01159" w:rsidRDefault="00B01159">
      <w:pPr>
        <w:pStyle w:val="Funotentext"/>
      </w:pPr>
      <w:r>
        <w:rPr>
          <w:rStyle w:val="Funotenzeichen"/>
        </w:rPr>
        <w:footnoteRef/>
      </w:r>
      <w:r>
        <w:t xml:space="preserve"> vgl. Drucks. 16/9761, Seite 67.</w:t>
      </w:r>
    </w:p>
  </w:footnote>
  <w:footnote w:id="6">
    <w:p w:rsidR="00B01159" w:rsidRDefault="00B01159">
      <w:pPr>
        <w:pStyle w:val="Funotentext"/>
      </w:pPr>
      <w:r>
        <w:rPr>
          <w:rStyle w:val="Funotenzeichen"/>
        </w:rPr>
        <w:footnoteRef/>
      </w:r>
      <w:r>
        <w:t xml:space="preserve"> vgl. Drucks. 16/9761, Seite 68.</w:t>
      </w:r>
    </w:p>
  </w:footnote>
  <w:footnote w:id="7">
    <w:p w:rsidR="00B01159" w:rsidRDefault="00B01159">
      <w:pPr>
        <w:pStyle w:val="Funotentext"/>
      </w:pPr>
      <w:r>
        <w:rPr>
          <w:rStyle w:val="Funotenzeichen"/>
        </w:rPr>
        <w:footnoteRef/>
      </w:r>
      <w:r>
        <w:t xml:space="preserve"> vgl. Drucks. 16/9761, Seite 70.</w:t>
      </w:r>
    </w:p>
  </w:footnote>
  <w:footnote w:id="8">
    <w:p w:rsidR="00B01159" w:rsidRDefault="00B01159">
      <w:pPr>
        <w:pStyle w:val="Funotentext"/>
      </w:pPr>
      <w:r>
        <w:rPr>
          <w:rStyle w:val="Funotenzeichen"/>
        </w:rPr>
        <w:footnoteRef/>
      </w:r>
      <w:r>
        <w:t xml:space="preserve"> </w:t>
      </w:r>
      <w:r w:rsidRPr="00FF6927">
        <w:t>Richtlinie 2000/78/EG</w:t>
      </w:r>
    </w:p>
  </w:footnote>
  <w:footnote w:id="9">
    <w:p w:rsidR="00B01159" w:rsidRDefault="00B01159">
      <w:pPr>
        <w:pStyle w:val="Funotentext"/>
      </w:pPr>
      <w:r>
        <w:rPr>
          <w:rStyle w:val="Funotenzeichen"/>
        </w:rPr>
        <w:footnoteRef/>
      </w:r>
      <w:r>
        <w:t xml:space="preserve"> </w:t>
      </w:r>
      <w:r w:rsidRPr="00CC733F">
        <w:t>CRPD/C/10/D/4/2011</w:t>
      </w:r>
      <w:r>
        <w:t>.</w:t>
      </w:r>
    </w:p>
  </w:footnote>
  <w:footnote w:id="10">
    <w:p w:rsidR="00B01159" w:rsidRDefault="00B01159">
      <w:pPr>
        <w:pStyle w:val="Funotentext"/>
      </w:pPr>
      <w:r>
        <w:rPr>
          <w:rStyle w:val="Funotenzeichen"/>
        </w:rPr>
        <w:footnoteRef/>
      </w:r>
      <w:r>
        <w:t xml:space="preserve"> Beschluss vom 8. Oktober 1997, </w:t>
      </w:r>
      <w:r w:rsidRPr="003C49F7">
        <w:t>1 BvR 9/97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4536"/>
      <w:gridCol w:w="2268"/>
    </w:tblGrid>
    <w:tr w:rsidR="00B01159" w:rsidTr="00EC6781">
      <w:tc>
        <w:tcPr>
          <w:tcW w:w="2268" w:type="dxa"/>
          <w:vAlign w:val="center"/>
        </w:tcPr>
        <w:p w:rsidR="00B01159" w:rsidRPr="00EC6781" w:rsidRDefault="00B01159" w:rsidP="00EC6781">
          <w:pPr>
            <w:jc w:val="left"/>
            <w:rPr>
              <w:noProof/>
              <w:lang w:eastAsia="de-DE"/>
            </w:rPr>
          </w:pPr>
          <w:r>
            <w:rPr>
              <w:noProof/>
              <w:lang w:eastAsia="de-DE"/>
            </w:rPr>
            <w:drawing>
              <wp:inline distT="0" distB="0" distL="0" distR="0" wp14:anchorId="49EFA031" wp14:editId="08E15158">
                <wp:extent cx="926035" cy="6120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winklusiv_farbig_alles_rgb.PNG"/>
                        <pic:cNvPicPr/>
                      </pic:nvPicPr>
                      <pic:blipFill>
                        <a:blip r:embed="rId1">
                          <a:extLst>
                            <a:ext uri="{28A0092B-C50C-407E-A947-70E740481C1C}">
                              <a14:useLocalDpi xmlns:a14="http://schemas.microsoft.com/office/drawing/2010/main" val="0"/>
                            </a:ext>
                          </a:extLst>
                        </a:blip>
                        <a:stretch>
                          <a:fillRect/>
                        </a:stretch>
                      </pic:blipFill>
                      <pic:spPr>
                        <a:xfrm>
                          <a:off x="0" y="0"/>
                          <a:ext cx="926035" cy="612000"/>
                        </a:xfrm>
                        <a:prstGeom prst="rect">
                          <a:avLst/>
                        </a:prstGeom>
                      </pic:spPr>
                    </pic:pic>
                  </a:graphicData>
                </a:graphic>
              </wp:inline>
            </w:drawing>
          </w:r>
        </w:p>
      </w:tc>
      <w:tc>
        <w:tcPr>
          <w:tcW w:w="4536" w:type="dxa"/>
          <w:vAlign w:val="center"/>
        </w:tcPr>
        <w:p w:rsidR="00B01159" w:rsidRDefault="00B01159" w:rsidP="000341C4">
          <w:pPr>
            <w:jc w:val="center"/>
            <w:rPr>
              <w:noProof/>
              <w:lang w:eastAsia="de-DE"/>
            </w:rPr>
          </w:pPr>
          <w:r w:rsidRPr="00241456">
            <w:rPr>
              <w:rFonts w:ascii="Tw Cen MT Condensed Extra Bold" w:hAnsi="Tw Cen MT Condensed Extra Bold"/>
              <w:smallCaps/>
              <w:sz w:val="32"/>
              <w:szCs w:val="32"/>
            </w:rPr>
            <w:t>K</w:t>
          </w:r>
          <w:r w:rsidRPr="00241456">
            <w:rPr>
              <w:rFonts w:ascii="Tw Cen MT Condensed Extra Bold" w:hAnsi="Tw Cen MT Condensed Extra Bold"/>
              <w:smallCaps/>
              <w:sz w:val="28"/>
              <w:szCs w:val="28"/>
            </w:rPr>
            <w:t xml:space="preserve">ompetenzzentrum </w:t>
          </w:r>
          <w:r w:rsidRPr="00241456">
            <w:rPr>
              <w:rFonts w:ascii="Tw Cen MT Condensed Extra Bold" w:hAnsi="Tw Cen MT Condensed Extra Bold"/>
              <w:smallCaps/>
              <w:sz w:val="32"/>
              <w:szCs w:val="32"/>
            </w:rPr>
            <w:t>S</w:t>
          </w:r>
          <w:r w:rsidRPr="00241456">
            <w:rPr>
              <w:rFonts w:ascii="Tw Cen MT Condensed Extra Bold" w:hAnsi="Tw Cen MT Condensed Extra Bold"/>
              <w:smallCaps/>
              <w:sz w:val="28"/>
              <w:szCs w:val="28"/>
            </w:rPr>
            <w:t xml:space="preserve">elbstbestimmt </w:t>
          </w:r>
          <w:r w:rsidRPr="00241456">
            <w:rPr>
              <w:rFonts w:ascii="Tw Cen MT Condensed Extra Bold" w:hAnsi="Tw Cen MT Condensed Extra Bold"/>
              <w:smallCaps/>
              <w:sz w:val="32"/>
              <w:szCs w:val="32"/>
            </w:rPr>
            <w:t>L</w:t>
          </w:r>
          <w:r w:rsidRPr="00241456">
            <w:rPr>
              <w:rFonts w:ascii="Tw Cen MT Condensed Extra Bold" w:hAnsi="Tw Cen MT Condensed Extra Bold"/>
              <w:smallCaps/>
              <w:sz w:val="28"/>
              <w:szCs w:val="28"/>
            </w:rPr>
            <w:t>eben</w:t>
          </w:r>
          <w:r w:rsidRPr="00241456">
            <w:rPr>
              <w:rFonts w:ascii="Tw Cen MT Condensed Extra Bold" w:hAnsi="Tw Cen MT Condensed Extra Bold"/>
              <w:smallCaps/>
              <w:sz w:val="32"/>
              <w:szCs w:val="32"/>
            </w:rPr>
            <w:t xml:space="preserve"> N</w:t>
          </w:r>
          <w:r w:rsidRPr="00241456">
            <w:rPr>
              <w:rFonts w:ascii="Tw Cen MT Condensed Extra Bold" w:hAnsi="Tw Cen MT Condensed Extra Bold"/>
              <w:smallCaps/>
              <w:sz w:val="28"/>
              <w:szCs w:val="28"/>
            </w:rPr>
            <w:t>ordrhein-</w:t>
          </w:r>
          <w:r w:rsidRPr="00241456">
            <w:rPr>
              <w:rFonts w:ascii="Tw Cen MT Condensed Extra Bold" w:hAnsi="Tw Cen MT Condensed Extra Bold"/>
              <w:smallCaps/>
              <w:sz w:val="32"/>
              <w:szCs w:val="32"/>
            </w:rPr>
            <w:t>W</w:t>
          </w:r>
          <w:r w:rsidRPr="00241456">
            <w:rPr>
              <w:rFonts w:ascii="Tw Cen MT Condensed Extra Bold" w:hAnsi="Tw Cen MT Condensed Extra Bold"/>
              <w:smallCaps/>
              <w:sz w:val="28"/>
              <w:szCs w:val="28"/>
            </w:rPr>
            <w:t>estfalen</w:t>
          </w:r>
        </w:p>
      </w:tc>
      <w:tc>
        <w:tcPr>
          <w:tcW w:w="2268" w:type="dxa"/>
          <w:vAlign w:val="center"/>
        </w:tcPr>
        <w:p w:rsidR="00B01159" w:rsidRDefault="00B01159" w:rsidP="0032533E">
          <w:pPr>
            <w:jc w:val="right"/>
            <w:rPr>
              <w:noProof/>
              <w:lang w:eastAsia="de-DE"/>
            </w:rPr>
          </w:pPr>
          <w:r>
            <w:rPr>
              <w:noProof/>
              <w:lang w:eastAsia="de-DE"/>
            </w:rPr>
            <w:drawing>
              <wp:inline distT="0" distB="0" distL="0" distR="0" wp14:anchorId="46FA52C4" wp14:editId="0C461315">
                <wp:extent cx="1191275" cy="5040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mpetenzzentrum Mai 2012.jpg"/>
                        <pic:cNvPicPr/>
                      </pic:nvPicPr>
                      <pic:blipFill>
                        <a:blip r:embed="rId2">
                          <a:extLst>
                            <a:ext uri="{28A0092B-C50C-407E-A947-70E740481C1C}">
                              <a14:useLocalDpi xmlns:a14="http://schemas.microsoft.com/office/drawing/2010/main" val="0"/>
                            </a:ext>
                          </a:extLst>
                        </a:blip>
                        <a:stretch>
                          <a:fillRect/>
                        </a:stretch>
                      </pic:blipFill>
                      <pic:spPr>
                        <a:xfrm>
                          <a:off x="0" y="0"/>
                          <a:ext cx="1191275" cy="504000"/>
                        </a:xfrm>
                        <a:prstGeom prst="rect">
                          <a:avLst/>
                        </a:prstGeom>
                      </pic:spPr>
                    </pic:pic>
                  </a:graphicData>
                </a:graphic>
              </wp:inline>
            </w:drawing>
          </w:r>
        </w:p>
      </w:tc>
    </w:tr>
  </w:tbl>
  <w:p w:rsidR="00B01159" w:rsidRDefault="00B01159">
    <w:pPr>
      <w:pStyle w:val="Kopfzeile"/>
    </w:pPr>
    <w:r w:rsidRPr="00013255">
      <w:rPr>
        <w:noProof/>
        <w:lang w:eastAsia="de-DE"/>
      </w:rPr>
      <mc:AlternateContent>
        <mc:Choice Requires="wps">
          <w:drawing>
            <wp:anchor distT="0" distB="0" distL="114300" distR="114300" simplePos="0" relativeHeight="251659264" behindDoc="0" locked="0" layoutInCell="1" allowOverlap="1" wp14:anchorId="7756B2FD" wp14:editId="541D941D">
              <wp:simplePos x="0" y="0"/>
              <wp:positionH relativeFrom="column">
                <wp:posOffset>-527050</wp:posOffset>
              </wp:positionH>
              <wp:positionV relativeFrom="paragraph">
                <wp:posOffset>3535317</wp:posOffset>
              </wp:positionV>
              <wp:extent cx="180000" cy="3564000"/>
              <wp:effectExtent l="0" t="0" r="0" b="0"/>
              <wp:wrapNone/>
              <wp:docPr id="3" name="Rechteck 3"/>
              <wp:cNvGraphicFramePr/>
              <a:graphic xmlns:a="http://schemas.openxmlformats.org/drawingml/2006/main">
                <a:graphicData uri="http://schemas.microsoft.com/office/word/2010/wordprocessingShape">
                  <wps:wsp>
                    <wps:cNvSpPr/>
                    <wps:spPr>
                      <a:xfrm>
                        <a:off x="0" y="0"/>
                        <a:ext cx="180000" cy="35640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 o:spid="_x0000_s1026" style="position:absolute;margin-left:-41.5pt;margin-top:278.35pt;width:14.15pt;height:28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NchwIAAGQFAAAOAAAAZHJzL2Uyb0RvYy54bWysVFFPGzEMfp+0/xDlfVyvtMBOXFEFYpqE&#10;AAETzyGX9E5L4ixJe+1+/ZzkelSA9jCtD9c4tj/bX2yfX2y1IhvhfAempuXRhBJhODSdWdX0x9P1&#10;lzNKfGCmYQqMqOlOeHqx+PzpvLeVmEILqhGOIIjxVW9r2oZgq6LwvBWa+SOwwqBSgtMsoOhWReNY&#10;j+haFdPJ5KTowTXWARfe4+1VVtJFwpdS8HAnpReBqJpibiF9Xfq+xG+xOGfVyjHbdnxIg/1DFpp1&#10;BoOOUFcsMLJ23Tso3XEHHmQ44qALkLLjItWA1ZSTN9U8tsyKVAuS4+1Ik/9/sPx2c+9I19T0mBLD&#10;ND7Rg+BtEPwnOY7s9NZXaPRo790geTzGUrfS6fiPRZBtYnQ3Miq2gXC8LM8m+KOEo+p4fjKLAsIU&#10;r97W+fBNgCbxUFOHL5aIZJsbH7Lp3iQGM3DdKYX3rFKG9Ihans6Tw6hBcGUwRsw855pOYadEdnsQ&#10;EivG7KbJMfWauFSObBh2CeNcmFBmVcsaka/nqZCc0OiRKlEGASOyxMxG7AEg9vF77Awz2EdXkVp1&#10;dJ78LbHsPHqkyGDC6Kw7A+4jAIVVDZGz/Z6kTE1k6QWaHfaDgzwo3vLrDt/lhvlwzxxOBr4lTnu4&#10;w49UgPzDcKKkBff7o/tojw2LWkp6nLSa+l9r5gQl6rvBVv5azmZxNJMwm59OUXCHmpdDjVnrS8Bn&#10;KnGvWJ6O0T6o/VE60M+4FJYxKqqY4Ri7pjy4vXAZ8gbAtcLFcpnMcBwtCzfm0fIIHlmNffe0fWbO&#10;Ds0ZsK1vYT+VrHrTo9k2ehpYrgPILjXwK68D3zjKqXGGtRN3xaGcrF6X4+IPAAAA//8DAFBLAwQU&#10;AAYACAAAACEAJiuNb+AAAAAMAQAADwAAAGRycy9kb3ducmV2LnhtbEyPTU+EMBCG7yb+h2ZMvLEF&#10;lZUgZWM0YqInV2PirUtnAaVTQsuH/97xpLd5M0/ej2K32l7MOPrOkYJkE4NAqp3pqFHw9voQZSB8&#10;0GR07wgVfKOHXXl6UujcuIVecN6HRrAJ+VwraEMYcil93aLVfuMGJP4d3Wh1YDk20ox6YXPby4s4&#10;3kqrO+KEVg9412L9tZ8s51bP3XsVz4/DVH0sS+3vn47yU6nzs/X2BkTANfzB8Fufq0PJnQ5uIuNF&#10;ryDKLnlLUJCm22sQTETpFR8HRpMki0GWhfw/ovwBAAD//wMAUEsBAi0AFAAGAAgAAAAhALaDOJL+&#10;AAAA4QEAABMAAAAAAAAAAAAAAAAAAAAAAFtDb250ZW50X1R5cGVzXS54bWxQSwECLQAUAAYACAAA&#10;ACEAOP0h/9YAAACUAQAACwAAAAAAAAAAAAAAAAAvAQAAX3JlbHMvLnJlbHNQSwECLQAUAAYACAAA&#10;ACEASWHjXIcCAABkBQAADgAAAAAAAAAAAAAAAAAuAgAAZHJzL2Uyb0RvYy54bWxQSwECLQAUAAYA&#10;CAAAACEAJiuNb+AAAAAMAQAADwAAAAAAAAAAAAAAAADhBAAAZHJzL2Rvd25yZXYueG1sUEsFBgAA&#10;AAAEAAQA8wAAAO4FAAAAAA==&#10;" filled="f" stroked="f" strokeweight=".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4536"/>
      <w:gridCol w:w="2268"/>
    </w:tblGrid>
    <w:tr w:rsidR="00B01159" w:rsidTr="0032533E">
      <w:tc>
        <w:tcPr>
          <w:tcW w:w="2268" w:type="dxa"/>
          <w:vAlign w:val="center"/>
        </w:tcPr>
        <w:p w:rsidR="00B01159" w:rsidRPr="00EC6781" w:rsidRDefault="00B01159" w:rsidP="0032533E">
          <w:pPr>
            <w:jc w:val="left"/>
            <w:rPr>
              <w:noProof/>
              <w:lang w:eastAsia="de-DE"/>
            </w:rPr>
          </w:pPr>
          <w:r>
            <w:rPr>
              <w:noProof/>
              <w:lang w:eastAsia="de-DE"/>
            </w:rPr>
            <w:drawing>
              <wp:inline distT="0" distB="0" distL="0" distR="0" wp14:anchorId="04DA373A" wp14:editId="428551FC">
                <wp:extent cx="926035" cy="6120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winklusiv_farbig_alles_rgb.PNG"/>
                        <pic:cNvPicPr/>
                      </pic:nvPicPr>
                      <pic:blipFill>
                        <a:blip r:embed="rId1">
                          <a:extLst>
                            <a:ext uri="{28A0092B-C50C-407E-A947-70E740481C1C}">
                              <a14:useLocalDpi xmlns:a14="http://schemas.microsoft.com/office/drawing/2010/main" val="0"/>
                            </a:ext>
                          </a:extLst>
                        </a:blip>
                        <a:stretch>
                          <a:fillRect/>
                        </a:stretch>
                      </pic:blipFill>
                      <pic:spPr>
                        <a:xfrm>
                          <a:off x="0" y="0"/>
                          <a:ext cx="926035" cy="612000"/>
                        </a:xfrm>
                        <a:prstGeom prst="rect">
                          <a:avLst/>
                        </a:prstGeom>
                      </pic:spPr>
                    </pic:pic>
                  </a:graphicData>
                </a:graphic>
              </wp:inline>
            </w:drawing>
          </w:r>
        </w:p>
      </w:tc>
      <w:tc>
        <w:tcPr>
          <w:tcW w:w="4536" w:type="dxa"/>
          <w:vAlign w:val="center"/>
        </w:tcPr>
        <w:p w:rsidR="00B01159" w:rsidRDefault="00B01159" w:rsidP="0032533E">
          <w:pPr>
            <w:jc w:val="center"/>
            <w:rPr>
              <w:noProof/>
              <w:lang w:eastAsia="de-DE"/>
            </w:rPr>
          </w:pPr>
          <w:r w:rsidRPr="00241456">
            <w:rPr>
              <w:rFonts w:ascii="Tw Cen MT Condensed Extra Bold" w:hAnsi="Tw Cen MT Condensed Extra Bold"/>
              <w:smallCaps/>
              <w:sz w:val="32"/>
              <w:szCs w:val="32"/>
            </w:rPr>
            <w:t>K</w:t>
          </w:r>
          <w:r w:rsidRPr="00241456">
            <w:rPr>
              <w:rFonts w:ascii="Tw Cen MT Condensed Extra Bold" w:hAnsi="Tw Cen MT Condensed Extra Bold"/>
              <w:smallCaps/>
              <w:sz w:val="28"/>
              <w:szCs w:val="28"/>
            </w:rPr>
            <w:t xml:space="preserve">ompetenzzentrum </w:t>
          </w:r>
          <w:r w:rsidRPr="00241456">
            <w:rPr>
              <w:rFonts w:ascii="Tw Cen MT Condensed Extra Bold" w:hAnsi="Tw Cen MT Condensed Extra Bold"/>
              <w:smallCaps/>
              <w:sz w:val="32"/>
              <w:szCs w:val="32"/>
            </w:rPr>
            <w:t>S</w:t>
          </w:r>
          <w:r w:rsidRPr="00241456">
            <w:rPr>
              <w:rFonts w:ascii="Tw Cen MT Condensed Extra Bold" w:hAnsi="Tw Cen MT Condensed Extra Bold"/>
              <w:smallCaps/>
              <w:sz w:val="28"/>
              <w:szCs w:val="28"/>
            </w:rPr>
            <w:t xml:space="preserve">elbstbestimmt </w:t>
          </w:r>
          <w:r w:rsidRPr="00241456">
            <w:rPr>
              <w:rFonts w:ascii="Tw Cen MT Condensed Extra Bold" w:hAnsi="Tw Cen MT Condensed Extra Bold"/>
              <w:smallCaps/>
              <w:sz w:val="32"/>
              <w:szCs w:val="32"/>
            </w:rPr>
            <w:t>L</w:t>
          </w:r>
          <w:r w:rsidRPr="00241456">
            <w:rPr>
              <w:rFonts w:ascii="Tw Cen MT Condensed Extra Bold" w:hAnsi="Tw Cen MT Condensed Extra Bold"/>
              <w:smallCaps/>
              <w:sz w:val="28"/>
              <w:szCs w:val="28"/>
            </w:rPr>
            <w:t>eben</w:t>
          </w:r>
          <w:r w:rsidRPr="00241456">
            <w:rPr>
              <w:rFonts w:ascii="Tw Cen MT Condensed Extra Bold" w:hAnsi="Tw Cen MT Condensed Extra Bold"/>
              <w:smallCaps/>
              <w:sz w:val="32"/>
              <w:szCs w:val="32"/>
            </w:rPr>
            <w:t xml:space="preserve"> N</w:t>
          </w:r>
          <w:r w:rsidRPr="00241456">
            <w:rPr>
              <w:rFonts w:ascii="Tw Cen MT Condensed Extra Bold" w:hAnsi="Tw Cen MT Condensed Extra Bold"/>
              <w:smallCaps/>
              <w:sz w:val="28"/>
              <w:szCs w:val="28"/>
            </w:rPr>
            <w:t>ordrhein-</w:t>
          </w:r>
          <w:r w:rsidRPr="00241456">
            <w:rPr>
              <w:rFonts w:ascii="Tw Cen MT Condensed Extra Bold" w:hAnsi="Tw Cen MT Condensed Extra Bold"/>
              <w:smallCaps/>
              <w:sz w:val="32"/>
              <w:szCs w:val="32"/>
            </w:rPr>
            <w:t>W</w:t>
          </w:r>
          <w:r w:rsidRPr="00241456">
            <w:rPr>
              <w:rFonts w:ascii="Tw Cen MT Condensed Extra Bold" w:hAnsi="Tw Cen MT Condensed Extra Bold"/>
              <w:smallCaps/>
              <w:sz w:val="28"/>
              <w:szCs w:val="28"/>
            </w:rPr>
            <w:t>estfalen</w:t>
          </w:r>
        </w:p>
      </w:tc>
      <w:tc>
        <w:tcPr>
          <w:tcW w:w="2268" w:type="dxa"/>
          <w:vAlign w:val="center"/>
        </w:tcPr>
        <w:p w:rsidR="00B01159" w:rsidRDefault="00B01159" w:rsidP="0032533E">
          <w:pPr>
            <w:jc w:val="right"/>
            <w:rPr>
              <w:noProof/>
              <w:lang w:eastAsia="de-DE"/>
            </w:rPr>
          </w:pPr>
          <w:r>
            <w:rPr>
              <w:noProof/>
              <w:lang w:eastAsia="de-DE"/>
            </w:rPr>
            <w:drawing>
              <wp:inline distT="0" distB="0" distL="0" distR="0" wp14:anchorId="0FA71270" wp14:editId="177B1DC5">
                <wp:extent cx="1191275" cy="504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ompetenzzentrum Mai 2012.jpg"/>
                        <pic:cNvPicPr/>
                      </pic:nvPicPr>
                      <pic:blipFill>
                        <a:blip r:embed="rId2">
                          <a:extLst>
                            <a:ext uri="{28A0092B-C50C-407E-A947-70E740481C1C}">
                              <a14:useLocalDpi xmlns:a14="http://schemas.microsoft.com/office/drawing/2010/main" val="0"/>
                            </a:ext>
                          </a:extLst>
                        </a:blip>
                        <a:stretch>
                          <a:fillRect/>
                        </a:stretch>
                      </pic:blipFill>
                      <pic:spPr>
                        <a:xfrm>
                          <a:off x="0" y="0"/>
                          <a:ext cx="1191275" cy="504000"/>
                        </a:xfrm>
                        <a:prstGeom prst="rect">
                          <a:avLst/>
                        </a:prstGeom>
                      </pic:spPr>
                    </pic:pic>
                  </a:graphicData>
                </a:graphic>
              </wp:inline>
            </w:drawing>
          </w:r>
        </w:p>
      </w:tc>
    </w:tr>
  </w:tbl>
  <w:p w:rsidR="00B01159" w:rsidRDefault="00B011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06BC318-9A53-4701-8B39-E240357F4E29}"/>
    <w:docVar w:name="dgnword-eventsink" w:val="198310672"/>
  </w:docVars>
  <w:rsids>
    <w:rsidRoot w:val="00B84BB7"/>
    <w:rsid w:val="00001FF0"/>
    <w:rsid w:val="00013255"/>
    <w:rsid w:val="000177D5"/>
    <w:rsid w:val="000341C4"/>
    <w:rsid w:val="00035471"/>
    <w:rsid w:val="0004567E"/>
    <w:rsid w:val="00050CF7"/>
    <w:rsid w:val="000579FA"/>
    <w:rsid w:val="000601A9"/>
    <w:rsid w:val="00070714"/>
    <w:rsid w:val="00072876"/>
    <w:rsid w:val="00080248"/>
    <w:rsid w:val="00084721"/>
    <w:rsid w:val="00091DD8"/>
    <w:rsid w:val="000943A7"/>
    <w:rsid w:val="000A56E8"/>
    <w:rsid w:val="000B174F"/>
    <w:rsid w:val="000B3EC1"/>
    <w:rsid w:val="000D43DA"/>
    <w:rsid w:val="000F087F"/>
    <w:rsid w:val="001065CD"/>
    <w:rsid w:val="001261D6"/>
    <w:rsid w:val="00127C72"/>
    <w:rsid w:val="00131758"/>
    <w:rsid w:val="00134EF6"/>
    <w:rsid w:val="00152E2C"/>
    <w:rsid w:val="00155C5E"/>
    <w:rsid w:val="00163489"/>
    <w:rsid w:val="00173D7B"/>
    <w:rsid w:val="00176A7E"/>
    <w:rsid w:val="00181AFC"/>
    <w:rsid w:val="00186D81"/>
    <w:rsid w:val="00195512"/>
    <w:rsid w:val="001A46C1"/>
    <w:rsid w:val="001A66A2"/>
    <w:rsid w:val="001B052D"/>
    <w:rsid w:val="001B2D11"/>
    <w:rsid w:val="001D242D"/>
    <w:rsid w:val="001E2FF8"/>
    <w:rsid w:val="001F406F"/>
    <w:rsid w:val="00201EF4"/>
    <w:rsid w:val="0020328F"/>
    <w:rsid w:val="002101ED"/>
    <w:rsid w:val="00212E72"/>
    <w:rsid w:val="00215A1E"/>
    <w:rsid w:val="00222559"/>
    <w:rsid w:val="00241456"/>
    <w:rsid w:val="00243501"/>
    <w:rsid w:val="00246919"/>
    <w:rsid w:val="00260AD8"/>
    <w:rsid w:val="00263AC0"/>
    <w:rsid w:val="002668B2"/>
    <w:rsid w:val="00273DE5"/>
    <w:rsid w:val="002834B2"/>
    <w:rsid w:val="00287976"/>
    <w:rsid w:val="00292D12"/>
    <w:rsid w:val="002A2BBD"/>
    <w:rsid w:val="002C58C1"/>
    <w:rsid w:val="002C62E2"/>
    <w:rsid w:val="002D4276"/>
    <w:rsid w:val="002E5713"/>
    <w:rsid w:val="002F128B"/>
    <w:rsid w:val="002F2509"/>
    <w:rsid w:val="00304C4C"/>
    <w:rsid w:val="00323E88"/>
    <w:rsid w:val="0032533E"/>
    <w:rsid w:val="00334864"/>
    <w:rsid w:val="00350512"/>
    <w:rsid w:val="003552B6"/>
    <w:rsid w:val="00356CB8"/>
    <w:rsid w:val="00371A67"/>
    <w:rsid w:val="00374117"/>
    <w:rsid w:val="0038663A"/>
    <w:rsid w:val="0038791D"/>
    <w:rsid w:val="003948F4"/>
    <w:rsid w:val="003A061C"/>
    <w:rsid w:val="003A0DF5"/>
    <w:rsid w:val="003A3FED"/>
    <w:rsid w:val="003A7DFA"/>
    <w:rsid w:val="003B6E56"/>
    <w:rsid w:val="003C49F7"/>
    <w:rsid w:val="003D4530"/>
    <w:rsid w:val="003E6A35"/>
    <w:rsid w:val="003F2427"/>
    <w:rsid w:val="003F65C0"/>
    <w:rsid w:val="00407403"/>
    <w:rsid w:val="004105B8"/>
    <w:rsid w:val="00422DB8"/>
    <w:rsid w:val="004243D6"/>
    <w:rsid w:val="00431A0F"/>
    <w:rsid w:val="00436F97"/>
    <w:rsid w:val="0045159C"/>
    <w:rsid w:val="004648C3"/>
    <w:rsid w:val="00471032"/>
    <w:rsid w:val="004863A4"/>
    <w:rsid w:val="00494720"/>
    <w:rsid w:val="004B2477"/>
    <w:rsid w:val="004B3418"/>
    <w:rsid w:val="004B4AC9"/>
    <w:rsid w:val="004B5FE8"/>
    <w:rsid w:val="004B73CE"/>
    <w:rsid w:val="004C2BD7"/>
    <w:rsid w:val="004D13A3"/>
    <w:rsid w:val="004D25EE"/>
    <w:rsid w:val="004D5D71"/>
    <w:rsid w:val="004E678A"/>
    <w:rsid w:val="004E7E45"/>
    <w:rsid w:val="004F6D0E"/>
    <w:rsid w:val="00510213"/>
    <w:rsid w:val="005120EC"/>
    <w:rsid w:val="00522062"/>
    <w:rsid w:val="00526EB6"/>
    <w:rsid w:val="005379FF"/>
    <w:rsid w:val="0054326D"/>
    <w:rsid w:val="00543FE6"/>
    <w:rsid w:val="00547A8B"/>
    <w:rsid w:val="005546C6"/>
    <w:rsid w:val="005549B5"/>
    <w:rsid w:val="00567AAF"/>
    <w:rsid w:val="00572375"/>
    <w:rsid w:val="005817D8"/>
    <w:rsid w:val="00594F8D"/>
    <w:rsid w:val="005A3D1D"/>
    <w:rsid w:val="005B396F"/>
    <w:rsid w:val="005C0636"/>
    <w:rsid w:val="005C7AAD"/>
    <w:rsid w:val="005D7DF1"/>
    <w:rsid w:val="005D7E52"/>
    <w:rsid w:val="005E333C"/>
    <w:rsid w:val="005E5F9F"/>
    <w:rsid w:val="00603406"/>
    <w:rsid w:val="006104BB"/>
    <w:rsid w:val="00611025"/>
    <w:rsid w:val="00627226"/>
    <w:rsid w:val="00632FB4"/>
    <w:rsid w:val="0063525B"/>
    <w:rsid w:val="00636751"/>
    <w:rsid w:val="00646941"/>
    <w:rsid w:val="0065050B"/>
    <w:rsid w:val="00662554"/>
    <w:rsid w:val="00675CEF"/>
    <w:rsid w:val="00677147"/>
    <w:rsid w:val="00683CC8"/>
    <w:rsid w:val="006A05F3"/>
    <w:rsid w:val="006A6E2C"/>
    <w:rsid w:val="006C3408"/>
    <w:rsid w:val="006C5CDE"/>
    <w:rsid w:val="006C6419"/>
    <w:rsid w:val="006C7F3D"/>
    <w:rsid w:val="006D4AB9"/>
    <w:rsid w:val="006E0EB7"/>
    <w:rsid w:val="006E1D5A"/>
    <w:rsid w:val="006E2046"/>
    <w:rsid w:val="006E280D"/>
    <w:rsid w:val="006E487F"/>
    <w:rsid w:val="006F571B"/>
    <w:rsid w:val="007017AD"/>
    <w:rsid w:val="0071757C"/>
    <w:rsid w:val="00717B0C"/>
    <w:rsid w:val="00720E75"/>
    <w:rsid w:val="00721798"/>
    <w:rsid w:val="0073270A"/>
    <w:rsid w:val="00734418"/>
    <w:rsid w:val="00734E5E"/>
    <w:rsid w:val="007626D9"/>
    <w:rsid w:val="007762E4"/>
    <w:rsid w:val="007770D8"/>
    <w:rsid w:val="00783632"/>
    <w:rsid w:val="00786DDF"/>
    <w:rsid w:val="0079310C"/>
    <w:rsid w:val="007A4FFB"/>
    <w:rsid w:val="007D60A9"/>
    <w:rsid w:val="007E77AA"/>
    <w:rsid w:val="007F57D2"/>
    <w:rsid w:val="00805A56"/>
    <w:rsid w:val="0081113E"/>
    <w:rsid w:val="008149F2"/>
    <w:rsid w:val="00820CD6"/>
    <w:rsid w:val="00822D14"/>
    <w:rsid w:val="0082415D"/>
    <w:rsid w:val="0082479B"/>
    <w:rsid w:val="008343AB"/>
    <w:rsid w:val="00836418"/>
    <w:rsid w:val="00846BEB"/>
    <w:rsid w:val="00856541"/>
    <w:rsid w:val="008658AA"/>
    <w:rsid w:val="00871326"/>
    <w:rsid w:val="0087163D"/>
    <w:rsid w:val="00877A49"/>
    <w:rsid w:val="0088256D"/>
    <w:rsid w:val="00883EE9"/>
    <w:rsid w:val="008940DA"/>
    <w:rsid w:val="008A3448"/>
    <w:rsid w:val="008A60B3"/>
    <w:rsid w:val="008B7CC3"/>
    <w:rsid w:val="008C0C17"/>
    <w:rsid w:val="008D2A15"/>
    <w:rsid w:val="008D6A5A"/>
    <w:rsid w:val="008E6B2A"/>
    <w:rsid w:val="008F00C8"/>
    <w:rsid w:val="008F4FB1"/>
    <w:rsid w:val="00900AE4"/>
    <w:rsid w:val="00910554"/>
    <w:rsid w:val="0091424B"/>
    <w:rsid w:val="0092140A"/>
    <w:rsid w:val="00921D45"/>
    <w:rsid w:val="00937C72"/>
    <w:rsid w:val="00952F20"/>
    <w:rsid w:val="00953738"/>
    <w:rsid w:val="009568BB"/>
    <w:rsid w:val="0097417D"/>
    <w:rsid w:val="00976A39"/>
    <w:rsid w:val="00995F01"/>
    <w:rsid w:val="00996620"/>
    <w:rsid w:val="009D3615"/>
    <w:rsid w:val="009F0AF5"/>
    <w:rsid w:val="00A01497"/>
    <w:rsid w:val="00A1412E"/>
    <w:rsid w:val="00A15C87"/>
    <w:rsid w:val="00A23A47"/>
    <w:rsid w:val="00A27952"/>
    <w:rsid w:val="00A377B1"/>
    <w:rsid w:val="00A60BBE"/>
    <w:rsid w:val="00A846FF"/>
    <w:rsid w:val="00A92D83"/>
    <w:rsid w:val="00AA12DE"/>
    <w:rsid w:val="00AA279D"/>
    <w:rsid w:val="00AA6C46"/>
    <w:rsid w:val="00AA7886"/>
    <w:rsid w:val="00AB475B"/>
    <w:rsid w:val="00AB538A"/>
    <w:rsid w:val="00AB60D0"/>
    <w:rsid w:val="00AD0935"/>
    <w:rsid w:val="00AD5BE8"/>
    <w:rsid w:val="00AE7C43"/>
    <w:rsid w:val="00B00D17"/>
    <w:rsid w:val="00B01159"/>
    <w:rsid w:val="00B032D6"/>
    <w:rsid w:val="00B2325A"/>
    <w:rsid w:val="00B35AF7"/>
    <w:rsid w:val="00B42296"/>
    <w:rsid w:val="00B45794"/>
    <w:rsid w:val="00B62FAC"/>
    <w:rsid w:val="00B64FD0"/>
    <w:rsid w:val="00B726BD"/>
    <w:rsid w:val="00B84BB7"/>
    <w:rsid w:val="00B9776D"/>
    <w:rsid w:val="00BA0A85"/>
    <w:rsid w:val="00BA6E86"/>
    <w:rsid w:val="00BB35A6"/>
    <w:rsid w:val="00BB35BB"/>
    <w:rsid w:val="00BB5B4B"/>
    <w:rsid w:val="00BB68DD"/>
    <w:rsid w:val="00BC5AB8"/>
    <w:rsid w:val="00BD00E6"/>
    <w:rsid w:val="00BD0156"/>
    <w:rsid w:val="00BD7A91"/>
    <w:rsid w:val="00BF7E1E"/>
    <w:rsid w:val="00C051DD"/>
    <w:rsid w:val="00C2473D"/>
    <w:rsid w:val="00C45DE1"/>
    <w:rsid w:val="00C52450"/>
    <w:rsid w:val="00C550C6"/>
    <w:rsid w:val="00C63F6A"/>
    <w:rsid w:val="00C660E0"/>
    <w:rsid w:val="00C673FA"/>
    <w:rsid w:val="00C67CDE"/>
    <w:rsid w:val="00C75D24"/>
    <w:rsid w:val="00C77F76"/>
    <w:rsid w:val="00CC733F"/>
    <w:rsid w:val="00CD58A6"/>
    <w:rsid w:val="00CE4C24"/>
    <w:rsid w:val="00D04E94"/>
    <w:rsid w:val="00D16873"/>
    <w:rsid w:val="00D241FC"/>
    <w:rsid w:val="00D24584"/>
    <w:rsid w:val="00D26B0F"/>
    <w:rsid w:val="00D318EE"/>
    <w:rsid w:val="00D33146"/>
    <w:rsid w:val="00D45AF6"/>
    <w:rsid w:val="00D50C06"/>
    <w:rsid w:val="00D61F91"/>
    <w:rsid w:val="00D64D3F"/>
    <w:rsid w:val="00D80196"/>
    <w:rsid w:val="00D82E50"/>
    <w:rsid w:val="00D838CB"/>
    <w:rsid w:val="00D932DF"/>
    <w:rsid w:val="00D93BE1"/>
    <w:rsid w:val="00DA695B"/>
    <w:rsid w:val="00DA696D"/>
    <w:rsid w:val="00DB2586"/>
    <w:rsid w:val="00DB5541"/>
    <w:rsid w:val="00DB582D"/>
    <w:rsid w:val="00DC72B4"/>
    <w:rsid w:val="00DD53C7"/>
    <w:rsid w:val="00DF7300"/>
    <w:rsid w:val="00E03B4D"/>
    <w:rsid w:val="00E105C8"/>
    <w:rsid w:val="00E15B68"/>
    <w:rsid w:val="00E23DB3"/>
    <w:rsid w:val="00E31C9B"/>
    <w:rsid w:val="00E41647"/>
    <w:rsid w:val="00E45874"/>
    <w:rsid w:val="00E515C4"/>
    <w:rsid w:val="00E87325"/>
    <w:rsid w:val="00E929E6"/>
    <w:rsid w:val="00EA5AEA"/>
    <w:rsid w:val="00EB2EA2"/>
    <w:rsid w:val="00EB3173"/>
    <w:rsid w:val="00EC6781"/>
    <w:rsid w:val="00ED1B51"/>
    <w:rsid w:val="00ED76EC"/>
    <w:rsid w:val="00EE25B4"/>
    <w:rsid w:val="00EE41A6"/>
    <w:rsid w:val="00EE63DA"/>
    <w:rsid w:val="00F04A40"/>
    <w:rsid w:val="00F22DC4"/>
    <w:rsid w:val="00F33978"/>
    <w:rsid w:val="00F67D3A"/>
    <w:rsid w:val="00F957F8"/>
    <w:rsid w:val="00F95D49"/>
    <w:rsid w:val="00F96C45"/>
    <w:rsid w:val="00FA50EA"/>
    <w:rsid w:val="00FC1EDB"/>
    <w:rsid w:val="00FC6492"/>
    <w:rsid w:val="00FD35DE"/>
    <w:rsid w:val="00FE456B"/>
    <w:rsid w:val="00FF2105"/>
    <w:rsid w:val="00FF2AED"/>
    <w:rsid w:val="00FF6927"/>
    <w:rsid w:val="00FF7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84BB7"/>
    <w:pPr>
      <w:keepNext/>
      <w:keepLines/>
      <w:spacing w:before="48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D45AF6"/>
    <w:pPr>
      <w:keepNext/>
      <w:keepLines/>
      <w:spacing w:before="20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B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14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456"/>
    <w:rPr>
      <w:rFonts w:ascii="Tahoma" w:hAnsi="Tahoma" w:cs="Tahoma"/>
      <w:sz w:val="16"/>
      <w:szCs w:val="16"/>
    </w:rPr>
  </w:style>
  <w:style w:type="paragraph" w:styleId="Kopfzeile">
    <w:name w:val="header"/>
    <w:basedOn w:val="Standard"/>
    <w:link w:val="KopfzeileZchn"/>
    <w:uiPriority w:val="99"/>
    <w:unhideWhenUsed/>
    <w:rsid w:val="003B6E56"/>
    <w:pPr>
      <w:tabs>
        <w:tab w:val="center" w:pos="4536"/>
        <w:tab w:val="right" w:pos="9072"/>
      </w:tabs>
    </w:pPr>
  </w:style>
  <w:style w:type="character" w:customStyle="1" w:styleId="KopfzeileZchn">
    <w:name w:val="Kopfzeile Zchn"/>
    <w:basedOn w:val="Absatz-Standardschriftart"/>
    <w:link w:val="Kopfzeile"/>
    <w:uiPriority w:val="99"/>
    <w:rsid w:val="003B6E56"/>
  </w:style>
  <w:style w:type="paragraph" w:styleId="Fuzeile">
    <w:name w:val="footer"/>
    <w:basedOn w:val="Standard"/>
    <w:link w:val="FuzeileZchn"/>
    <w:uiPriority w:val="99"/>
    <w:unhideWhenUsed/>
    <w:rsid w:val="003B6E56"/>
    <w:pPr>
      <w:tabs>
        <w:tab w:val="center" w:pos="4536"/>
        <w:tab w:val="right" w:pos="9072"/>
      </w:tabs>
    </w:pPr>
  </w:style>
  <w:style w:type="character" w:customStyle="1" w:styleId="FuzeileZchn">
    <w:name w:val="Fußzeile Zchn"/>
    <w:basedOn w:val="Absatz-Standardschriftart"/>
    <w:link w:val="Fuzeile"/>
    <w:uiPriority w:val="99"/>
    <w:rsid w:val="003B6E56"/>
  </w:style>
  <w:style w:type="character" w:customStyle="1" w:styleId="berschrift1Zchn">
    <w:name w:val="Überschrift 1 Zchn"/>
    <w:basedOn w:val="Absatz-Standardschriftart"/>
    <w:link w:val="berschrift1"/>
    <w:uiPriority w:val="9"/>
    <w:rsid w:val="00B84BB7"/>
    <w:rPr>
      <w:rFonts w:eastAsiaTheme="majorEastAsia" w:cstheme="majorBidi"/>
      <w:b/>
      <w:bCs/>
      <w:color w:val="000000" w:themeColor="text1"/>
      <w:sz w:val="28"/>
      <w:szCs w:val="28"/>
    </w:rPr>
  </w:style>
  <w:style w:type="paragraph" w:styleId="Inhaltsverzeichnisberschrift">
    <w:name w:val="TOC Heading"/>
    <w:basedOn w:val="berschrift1"/>
    <w:next w:val="Standard"/>
    <w:uiPriority w:val="39"/>
    <w:semiHidden/>
    <w:unhideWhenUsed/>
    <w:qFormat/>
    <w:rsid w:val="00EB3173"/>
    <w:pPr>
      <w:spacing w:line="276" w:lineRule="auto"/>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6E0EB7"/>
    <w:pPr>
      <w:keepNext/>
      <w:tabs>
        <w:tab w:val="right" w:leader="dot" w:pos="9072"/>
      </w:tabs>
      <w:spacing w:after="100"/>
      <w:ind w:right="425"/>
    </w:pPr>
    <w:rPr>
      <w:b/>
      <w:noProof/>
    </w:rPr>
  </w:style>
  <w:style w:type="character" w:styleId="Hyperlink">
    <w:name w:val="Hyperlink"/>
    <w:basedOn w:val="Absatz-Standardschriftart"/>
    <w:uiPriority w:val="99"/>
    <w:unhideWhenUsed/>
    <w:rsid w:val="00EB3173"/>
    <w:rPr>
      <w:color w:val="0000FF" w:themeColor="hyperlink"/>
      <w:u w:val="single"/>
    </w:rPr>
  </w:style>
  <w:style w:type="character" w:customStyle="1" w:styleId="berschrift2Zchn">
    <w:name w:val="Überschrift 2 Zchn"/>
    <w:basedOn w:val="Absatz-Standardschriftart"/>
    <w:link w:val="berschrift2"/>
    <w:uiPriority w:val="9"/>
    <w:rsid w:val="00D45AF6"/>
    <w:rPr>
      <w:rFonts w:eastAsiaTheme="majorEastAsia" w:cstheme="majorBidi"/>
      <w:b/>
      <w:bCs/>
      <w:color w:val="000000" w:themeColor="text1"/>
      <w:szCs w:val="26"/>
    </w:rPr>
  </w:style>
  <w:style w:type="paragraph" w:styleId="Verzeichnis2">
    <w:name w:val="toc 2"/>
    <w:basedOn w:val="Standard"/>
    <w:next w:val="Standard"/>
    <w:autoRedefine/>
    <w:uiPriority w:val="39"/>
    <w:unhideWhenUsed/>
    <w:rsid w:val="007770D8"/>
    <w:pPr>
      <w:tabs>
        <w:tab w:val="right" w:leader="dot" w:pos="9072"/>
      </w:tabs>
      <w:spacing w:after="100"/>
      <w:ind w:left="240" w:right="423"/>
    </w:pPr>
  </w:style>
  <w:style w:type="paragraph" w:styleId="Funotentext">
    <w:name w:val="footnote text"/>
    <w:basedOn w:val="Standard"/>
    <w:link w:val="FunotentextZchn"/>
    <w:uiPriority w:val="99"/>
    <w:semiHidden/>
    <w:unhideWhenUsed/>
    <w:rsid w:val="00FF6927"/>
    <w:rPr>
      <w:sz w:val="20"/>
      <w:szCs w:val="20"/>
    </w:rPr>
  </w:style>
  <w:style w:type="character" w:customStyle="1" w:styleId="FunotentextZchn">
    <w:name w:val="Fußnotentext Zchn"/>
    <w:basedOn w:val="Absatz-Standardschriftart"/>
    <w:link w:val="Funotentext"/>
    <w:uiPriority w:val="99"/>
    <w:semiHidden/>
    <w:rsid w:val="00FF6927"/>
    <w:rPr>
      <w:sz w:val="20"/>
      <w:szCs w:val="20"/>
    </w:rPr>
  </w:style>
  <w:style w:type="character" w:styleId="Funotenzeichen">
    <w:name w:val="footnote reference"/>
    <w:basedOn w:val="Absatz-Standardschriftart"/>
    <w:uiPriority w:val="99"/>
    <w:semiHidden/>
    <w:unhideWhenUsed/>
    <w:rsid w:val="00FF6927"/>
    <w:rPr>
      <w:vertAlign w:val="superscript"/>
    </w:rPr>
  </w:style>
  <w:style w:type="character" w:styleId="Kommentarzeichen">
    <w:name w:val="annotation reference"/>
    <w:basedOn w:val="Absatz-Standardschriftart"/>
    <w:uiPriority w:val="99"/>
    <w:semiHidden/>
    <w:unhideWhenUsed/>
    <w:rsid w:val="00952F20"/>
    <w:rPr>
      <w:sz w:val="16"/>
      <w:szCs w:val="16"/>
    </w:rPr>
  </w:style>
  <w:style w:type="paragraph" w:styleId="Kommentartext">
    <w:name w:val="annotation text"/>
    <w:basedOn w:val="Standard"/>
    <w:link w:val="KommentartextZchn"/>
    <w:uiPriority w:val="99"/>
    <w:semiHidden/>
    <w:unhideWhenUsed/>
    <w:rsid w:val="00952F20"/>
    <w:rPr>
      <w:sz w:val="20"/>
      <w:szCs w:val="20"/>
    </w:rPr>
  </w:style>
  <w:style w:type="character" w:customStyle="1" w:styleId="KommentartextZchn">
    <w:name w:val="Kommentartext Zchn"/>
    <w:basedOn w:val="Absatz-Standardschriftart"/>
    <w:link w:val="Kommentartext"/>
    <w:uiPriority w:val="99"/>
    <w:semiHidden/>
    <w:rsid w:val="00952F20"/>
    <w:rPr>
      <w:sz w:val="20"/>
      <w:szCs w:val="20"/>
    </w:rPr>
  </w:style>
  <w:style w:type="paragraph" w:styleId="Kommentarthema">
    <w:name w:val="annotation subject"/>
    <w:basedOn w:val="Kommentartext"/>
    <w:next w:val="Kommentartext"/>
    <w:link w:val="KommentarthemaZchn"/>
    <w:uiPriority w:val="99"/>
    <w:semiHidden/>
    <w:unhideWhenUsed/>
    <w:rsid w:val="00952F20"/>
    <w:rPr>
      <w:b/>
      <w:bCs/>
    </w:rPr>
  </w:style>
  <w:style w:type="character" w:customStyle="1" w:styleId="KommentarthemaZchn">
    <w:name w:val="Kommentarthema Zchn"/>
    <w:basedOn w:val="KommentartextZchn"/>
    <w:link w:val="Kommentarthema"/>
    <w:uiPriority w:val="99"/>
    <w:semiHidden/>
    <w:rsid w:val="00952F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de-D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84BB7"/>
    <w:pPr>
      <w:keepNext/>
      <w:keepLines/>
      <w:spacing w:before="48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D45AF6"/>
    <w:pPr>
      <w:keepNext/>
      <w:keepLines/>
      <w:spacing w:before="200"/>
      <w:outlineLvl w:val="1"/>
    </w:pPr>
    <w:rPr>
      <w:rFonts w:eastAsiaTheme="majorEastAsia" w:cstheme="majorBidi"/>
      <w:b/>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B4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14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456"/>
    <w:rPr>
      <w:rFonts w:ascii="Tahoma" w:hAnsi="Tahoma" w:cs="Tahoma"/>
      <w:sz w:val="16"/>
      <w:szCs w:val="16"/>
    </w:rPr>
  </w:style>
  <w:style w:type="paragraph" w:styleId="Kopfzeile">
    <w:name w:val="header"/>
    <w:basedOn w:val="Standard"/>
    <w:link w:val="KopfzeileZchn"/>
    <w:uiPriority w:val="99"/>
    <w:unhideWhenUsed/>
    <w:rsid w:val="003B6E56"/>
    <w:pPr>
      <w:tabs>
        <w:tab w:val="center" w:pos="4536"/>
        <w:tab w:val="right" w:pos="9072"/>
      </w:tabs>
    </w:pPr>
  </w:style>
  <w:style w:type="character" w:customStyle="1" w:styleId="KopfzeileZchn">
    <w:name w:val="Kopfzeile Zchn"/>
    <w:basedOn w:val="Absatz-Standardschriftart"/>
    <w:link w:val="Kopfzeile"/>
    <w:uiPriority w:val="99"/>
    <w:rsid w:val="003B6E56"/>
  </w:style>
  <w:style w:type="paragraph" w:styleId="Fuzeile">
    <w:name w:val="footer"/>
    <w:basedOn w:val="Standard"/>
    <w:link w:val="FuzeileZchn"/>
    <w:uiPriority w:val="99"/>
    <w:unhideWhenUsed/>
    <w:rsid w:val="003B6E56"/>
    <w:pPr>
      <w:tabs>
        <w:tab w:val="center" w:pos="4536"/>
        <w:tab w:val="right" w:pos="9072"/>
      </w:tabs>
    </w:pPr>
  </w:style>
  <w:style w:type="character" w:customStyle="1" w:styleId="FuzeileZchn">
    <w:name w:val="Fußzeile Zchn"/>
    <w:basedOn w:val="Absatz-Standardschriftart"/>
    <w:link w:val="Fuzeile"/>
    <w:uiPriority w:val="99"/>
    <w:rsid w:val="003B6E56"/>
  </w:style>
  <w:style w:type="character" w:customStyle="1" w:styleId="berschrift1Zchn">
    <w:name w:val="Überschrift 1 Zchn"/>
    <w:basedOn w:val="Absatz-Standardschriftart"/>
    <w:link w:val="berschrift1"/>
    <w:uiPriority w:val="9"/>
    <w:rsid w:val="00B84BB7"/>
    <w:rPr>
      <w:rFonts w:eastAsiaTheme="majorEastAsia" w:cstheme="majorBidi"/>
      <w:b/>
      <w:bCs/>
      <w:color w:val="000000" w:themeColor="text1"/>
      <w:sz w:val="28"/>
      <w:szCs w:val="28"/>
    </w:rPr>
  </w:style>
  <w:style w:type="paragraph" w:styleId="Inhaltsverzeichnisberschrift">
    <w:name w:val="TOC Heading"/>
    <w:basedOn w:val="berschrift1"/>
    <w:next w:val="Standard"/>
    <w:uiPriority w:val="39"/>
    <w:semiHidden/>
    <w:unhideWhenUsed/>
    <w:qFormat/>
    <w:rsid w:val="00EB3173"/>
    <w:pPr>
      <w:spacing w:line="276" w:lineRule="auto"/>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6E0EB7"/>
    <w:pPr>
      <w:keepNext/>
      <w:tabs>
        <w:tab w:val="right" w:leader="dot" w:pos="9072"/>
      </w:tabs>
      <w:spacing w:after="100"/>
      <w:ind w:right="425"/>
    </w:pPr>
    <w:rPr>
      <w:b/>
      <w:noProof/>
    </w:rPr>
  </w:style>
  <w:style w:type="character" w:styleId="Hyperlink">
    <w:name w:val="Hyperlink"/>
    <w:basedOn w:val="Absatz-Standardschriftart"/>
    <w:uiPriority w:val="99"/>
    <w:unhideWhenUsed/>
    <w:rsid w:val="00EB3173"/>
    <w:rPr>
      <w:color w:val="0000FF" w:themeColor="hyperlink"/>
      <w:u w:val="single"/>
    </w:rPr>
  </w:style>
  <w:style w:type="character" w:customStyle="1" w:styleId="berschrift2Zchn">
    <w:name w:val="Überschrift 2 Zchn"/>
    <w:basedOn w:val="Absatz-Standardschriftart"/>
    <w:link w:val="berschrift2"/>
    <w:uiPriority w:val="9"/>
    <w:rsid w:val="00D45AF6"/>
    <w:rPr>
      <w:rFonts w:eastAsiaTheme="majorEastAsia" w:cstheme="majorBidi"/>
      <w:b/>
      <w:bCs/>
      <w:color w:val="000000" w:themeColor="text1"/>
      <w:szCs w:val="26"/>
    </w:rPr>
  </w:style>
  <w:style w:type="paragraph" w:styleId="Verzeichnis2">
    <w:name w:val="toc 2"/>
    <w:basedOn w:val="Standard"/>
    <w:next w:val="Standard"/>
    <w:autoRedefine/>
    <w:uiPriority w:val="39"/>
    <w:unhideWhenUsed/>
    <w:rsid w:val="007770D8"/>
    <w:pPr>
      <w:tabs>
        <w:tab w:val="right" w:leader="dot" w:pos="9072"/>
      </w:tabs>
      <w:spacing w:after="100"/>
      <w:ind w:left="240" w:right="423"/>
    </w:pPr>
  </w:style>
  <w:style w:type="paragraph" w:styleId="Funotentext">
    <w:name w:val="footnote text"/>
    <w:basedOn w:val="Standard"/>
    <w:link w:val="FunotentextZchn"/>
    <w:uiPriority w:val="99"/>
    <w:semiHidden/>
    <w:unhideWhenUsed/>
    <w:rsid w:val="00FF6927"/>
    <w:rPr>
      <w:sz w:val="20"/>
      <w:szCs w:val="20"/>
    </w:rPr>
  </w:style>
  <w:style w:type="character" w:customStyle="1" w:styleId="FunotentextZchn">
    <w:name w:val="Fußnotentext Zchn"/>
    <w:basedOn w:val="Absatz-Standardschriftart"/>
    <w:link w:val="Funotentext"/>
    <w:uiPriority w:val="99"/>
    <w:semiHidden/>
    <w:rsid w:val="00FF6927"/>
    <w:rPr>
      <w:sz w:val="20"/>
      <w:szCs w:val="20"/>
    </w:rPr>
  </w:style>
  <w:style w:type="character" w:styleId="Funotenzeichen">
    <w:name w:val="footnote reference"/>
    <w:basedOn w:val="Absatz-Standardschriftart"/>
    <w:uiPriority w:val="99"/>
    <w:semiHidden/>
    <w:unhideWhenUsed/>
    <w:rsid w:val="00FF6927"/>
    <w:rPr>
      <w:vertAlign w:val="superscript"/>
    </w:rPr>
  </w:style>
  <w:style w:type="character" w:styleId="Kommentarzeichen">
    <w:name w:val="annotation reference"/>
    <w:basedOn w:val="Absatz-Standardschriftart"/>
    <w:uiPriority w:val="99"/>
    <w:semiHidden/>
    <w:unhideWhenUsed/>
    <w:rsid w:val="00952F20"/>
    <w:rPr>
      <w:sz w:val="16"/>
      <w:szCs w:val="16"/>
    </w:rPr>
  </w:style>
  <w:style w:type="paragraph" w:styleId="Kommentartext">
    <w:name w:val="annotation text"/>
    <w:basedOn w:val="Standard"/>
    <w:link w:val="KommentartextZchn"/>
    <w:uiPriority w:val="99"/>
    <w:semiHidden/>
    <w:unhideWhenUsed/>
    <w:rsid w:val="00952F20"/>
    <w:rPr>
      <w:sz w:val="20"/>
      <w:szCs w:val="20"/>
    </w:rPr>
  </w:style>
  <w:style w:type="character" w:customStyle="1" w:styleId="KommentartextZchn">
    <w:name w:val="Kommentartext Zchn"/>
    <w:basedOn w:val="Absatz-Standardschriftart"/>
    <w:link w:val="Kommentartext"/>
    <w:uiPriority w:val="99"/>
    <w:semiHidden/>
    <w:rsid w:val="00952F20"/>
    <w:rPr>
      <w:sz w:val="20"/>
      <w:szCs w:val="20"/>
    </w:rPr>
  </w:style>
  <w:style w:type="paragraph" w:styleId="Kommentarthema">
    <w:name w:val="annotation subject"/>
    <w:basedOn w:val="Kommentartext"/>
    <w:next w:val="Kommentartext"/>
    <w:link w:val="KommentarthemaZchn"/>
    <w:uiPriority w:val="99"/>
    <w:semiHidden/>
    <w:unhideWhenUsed/>
    <w:rsid w:val="00952F20"/>
    <w:rPr>
      <w:b/>
      <w:bCs/>
    </w:rPr>
  </w:style>
  <w:style w:type="character" w:customStyle="1" w:styleId="KommentarthemaZchn">
    <w:name w:val="Kommentarthema Zchn"/>
    <w:basedOn w:val="KommentartextZchn"/>
    <w:link w:val="Kommentarthema"/>
    <w:uiPriority w:val="99"/>
    <w:semiHidden/>
    <w:rsid w:val="00952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7823">
      <w:bodyDiv w:val="1"/>
      <w:marLeft w:val="0"/>
      <w:marRight w:val="0"/>
      <w:marTop w:val="0"/>
      <w:marBottom w:val="0"/>
      <w:divBdr>
        <w:top w:val="none" w:sz="0" w:space="0" w:color="auto"/>
        <w:left w:val="none" w:sz="0" w:space="0" w:color="auto"/>
        <w:bottom w:val="none" w:sz="0" w:space="0" w:color="auto"/>
        <w:right w:val="none" w:sz="0" w:space="0" w:color="auto"/>
      </w:divBdr>
      <w:divsChild>
        <w:div w:id="977565902">
          <w:marLeft w:val="0"/>
          <w:marRight w:val="0"/>
          <w:marTop w:val="0"/>
          <w:marBottom w:val="0"/>
          <w:divBdr>
            <w:top w:val="none" w:sz="0" w:space="0" w:color="auto"/>
            <w:left w:val="none" w:sz="0" w:space="0" w:color="auto"/>
            <w:bottom w:val="none" w:sz="0" w:space="0" w:color="auto"/>
            <w:right w:val="none" w:sz="0" w:space="0" w:color="auto"/>
          </w:divBdr>
        </w:div>
      </w:divsChild>
    </w:div>
    <w:div w:id="1597863270">
      <w:bodyDiv w:val="1"/>
      <w:marLeft w:val="0"/>
      <w:marRight w:val="0"/>
      <w:marTop w:val="0"/>
      <w:marBottom w:val="0"/>
      <w:divBdr>
        <w:top w:val="none" w:sz="0" w:space="0" w:color="auto"/>
        <w:left w:val="none" w:sz="0" w:space="0" w:color="auto"/>
        <w:bottom w:val="none" w:sz="0" w:space="0" w:color="auto"/>
        <w:right w:val="none" w:sz="0" w:space="0" w:color="auto"/>
      </w:divBdr>
    </w:div>
    <w:div w:id="17994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netzwerk-artikel-3.de/index.php?view=article&amp;id=93:international-schattenuebersetz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wender\Desktop\VORLAGEN\KSL\KSL%20Rhld%20Mem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77F91-26FD-4A35-B0BF-56281BD0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 Rhld Memo</Template>
  <TotalTime>0</TotalTime>
  <Pages>44</Pages>
  <Words>11785</Words>
  <Characters>74246</Characters>
  <Application>Microsoft Office Word</Application>
  <DocSecurity>0</DocSecurity>
  <Lines>618</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Carl-Wilhelm Rößler</dc:creator>
  <cp:lastModifiedBy>Witzmann</cp:lastModifiedBy>
  <cp:revision>2</cp:revision>
  <cp:lastPrinted>2012-08-13T18:57:00Z</cp:lastPrinted>
  <dcterms:created xsi:type="dcterms:W3CDTF">2016-02-09T08:45:00Z</dcterms:created>
  <dcterms:modified xsi:type="dcterms:W3CDTF">2016-02-09T08:45:00Z</dcterms:modified>
</cp:coreProperties>
</file>