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4719" w14:textId="4F6A358A" w:rsidR="00C46545" w:rsidRPr="007718F0" w:rsidRDefault="008167A0" w:rsidP="0066415D">
      <w:pPr>
        <w:jc w:val="center"/>
        <w:rPr>
          <w:rFonts w:ascii="Arial" w:hAnsi="Arial" w:cs="Arial"/>
          <w:b/>
          <w:sz w:val="28"/>
          <w:szCs w:val="28"/>
        </w:rPr>
      </w:pPr>
      <w:r w:rsidRPr="007718F0">
        <w:rPr>
          <w:rFonts w:ascii="Arial" w:hAnsi="Arial" w:cs="Arial"/>
          <w:b/>
          <w:sz w:val="28"/>
          <w:szCs w:val="28"/>
        </w:rPr>
        <w:t xml:space="preserve">Alternative </w:t>
      </w:r>
      <w:r w:rsidR="0066415D" w:rsidRPr="007718F0">
        <w:rPr>
          <w:rFonts w:ascii="Arial" w:hAnsi="Arial" w:cs="Arial"/>
          <w:b/>
          <w:sz w:val="28"/>
          <w:szCs w:val="28"/>
        </w:rPr>
        <w:t>G</w:t>
      </w:r>
      <w:r w:rsidRPr="007718F0">
        <w:rPr>
          <w:rFonts w:ascii="Arial" w:hAnsi="Arial" w:cs="Arial"/>
          <w:b/>
          <w:sz w:val="28"/>
          <w:szCs w:val="28"/>
        </w:rPr>
        <w:t>esetzesformulierungen</w:t>
      </w:r>
      <w:r w:rsidR="00CE6B95" w:rsidRPr="007718F0">
        <w:rPr>
          <w:rFonts w:ascii="Arial" w:hAnsi="Arial" w:cs="Arial"/>
          <w:b/>
          <w:sz w:val="28"/>
          <w:szCs w:val="28"/>
        </w:rPr>
        <w:t xml:space="preserve"> des Runden Tisch</w:t>
      </w:r>
      <w:r w:rsidR="00C445B0" w:rsidRPr="007718F0">
        <w:rPr>
          <w:rFonts w:ascii="Arial" w:hAnsi="Arial" w:cs="Arial"/>
          <w:b/>
          <w:sz w:val="28"/>
          <w:szCs w:val="28"/>
        </w:rPr>
        <w:t>s Triage</w:t>
      </w:r>
    </w:p>
    <w:p w14:paraId="54B1B77B" w14:textId="5E21E2A5" w:rsidR="008C279A" w:rsidRPr="007718F0" w:rsidRDefault="00B80F87" w:rsidP="008C27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(Stand: 10</w:t>
      </w:r>
      <w:r w:rsidR="008C279A" w:rsidRPr="007718F0">
        <w:rPr>
          <w:rFonts w:ascii="Arial" w:hAnsi="Arial" w:cs="Arial"/>
          <w:i/>
          <w:sz w:val="20"/>
          <w:szCs w:val="20"/>
          <w:u w:val="single"/>
        </w:rPr>
        <w:t>. September 2022</w:t>
      </w:r>
      <w:r w:rsidR="008C279A" w:rsidRPr="007718F0">
        <w:rPr>
          <w:rFonts w:ascii="Arial" w:hAnsi="Arial" w:cs="Arial"/>
          <w:sz w:val="20"/>
          <w:szCs w:val="20"/>
        </w:rPr>
        <w:t>)</w:t>
      </w:r>
    </w:p>
    <w:p w14:paraId="5ABBA3E5" w14:textId="5855395C" w:rsidR="008167A0" w:rsidRPr="007718F0" w:rsidRDefault="008167A0" w:rsidP="008C279A">
      <w:pPr>
        <w:rPr>
          <w:rFonts w:ascii="Arial" w:hAnsi="Arial" w:cs="Arial"/>
          <w:sz w:val="20"/>
          <w:szCs w:val="20"/>
        </w:rPr>
      </w:pPr>
      <w:r w:rsidRPr="007718F0">
        <w:rPr>
          <w:rFonts w:ascii="Arial" w:hAnsi="Arial" w:cs="Arial"/>
          <w:sz w:val="20"/>
          <w:szCs w:val="20"/>
        </w:rPr>
        <w:t>Der Runde Tisch Triage legt hiermit als ersten Schritt kurze alternative Formulierungsvorschläge zum geplanten Triage-Gesetz</w:t>
      </w:r>
      <w:r w:rsidR="008A6DFB" w:rsidRPr="007718F0">
        <w:rPr>
          <w:rFonts w:ascii="Arial" w:hAnsi="Arial" w:cs="Arial"/>
          <w:sz w:val="20"/>
          <w:szCs w:val="20"/>
        </w:rPr>
        <w:t xml:space="preserve"> der Bundesregierung</w:t>
      </w:r>
      <w:r w:rsidRPr="007718F0">
        <w:rPr>
          <w:rFonts w:ascii="Arial" w:hAnsi="Arial" w:cs="Arial"/>
          <w:sz w:val="20"/>
          <w:szCs w:val="20"/>
        </w:rPr>
        <w:t xml:space="preserve"> vor. Für das anstehende parlamentarische Verfahren werden wir in einem zweiten Schritt weitere Konkretisierungen</w:t>
      </w:r>
      <w:r w:rsidR="007947EF" w:rsidRPr="007718F0">
        <w:rPr>
          <w:rFonts w:ascii="Arial" w:hAnsi="Arial" w:cs="Arial"/>
          <w:sz w:val="20"/>
          <w:szCs w:val="20"/>
        </w:rPr>
        <w:t>,</w:t>
      </w:r>
      <w:r w:rsidRPr="007718F0">
        <w:rPr>
          <w:rFonts w:ascii="Arial" w:hAnsi="Arial" w:cs="Arial"/>
          <w:sz w:val="20"/>
          <w:szCs w:val="20"/>
        </w:rPr>
        <w:t xml:space="preserve"> </w:t>
      </w:r>
      <w:r w:rsidR="00D82FCC" w:rsidRPr="007718F0">
        <w:rPr>
          <w:rFonts w:ascii="Arial" w:hAnsi="Arial" w:cs="Arial"/>
          <w:sz w:val="20"/>
          <w:szCs w:val="20"/>
        </w:rPr>
        <w:t>insbesondere zu Sanktions</w:t>
      </w:r>
      <w:r w:rsidR="008A6DFB" w:rsidRPr="007718F0">
        <w:rPr>
          <w:rFonts w:ascii="Arial" w:hAnsi="Arial" w:cs="Arial"/>
          <w:sz w:val="20"/>
          <w:szCs w:val="20"/>
        </w:rPr>
        <w:t xml:space="preserve">- und Verfahrensregelungen </w:t>
      </w:r>
      <w:r w:rsidR="007947EF" w:rsidRPr="007718F0">
        <w:rPr>
          <w:rFonts w:ascii="Arial" w:hAnsi="Arial" w:cs="Arial"/>
          <w:sz w:val="20"/>
          <w:szCs w:val="20"/>
        </w:rPr>
        <w:t>vorschlag</w:t>
      </w:r>
      <w:r w:rsidRPr="007718F0">
        <w:rPr>
          <w:rFonts w:ascii="Arial" w:hAnsi="Arial" w:cs="Arial"/>
          <w:sz w:val="20"/>
          <w:szCs w:val="20"/>
        </w:rPr>
        <w:t>en</w:t>
      </w:r>
      <w:r w:rsidR="004F7DF7" w:rsidRPr="007718F0">
        <w:rPr>
          <w:rFonts w:ascii="Arial" w:hAnsi="Arial" w:cs="Arial"/>
          <w:sz w:val="20"/>
          <w:szCs w:val="20"/>
        </w:rPr>
        <w:t xml:space="preserve">, auch in dem Bewusstsein, dass uns die Ressourcen für eine detaillierte Begründung </w:t>
      </w:r>
      <w:r w:rsidR="008A6DFB" w:rsidRPr="007718F0">
        <w:rPr>
          <w:rFonts w:ascii="Arial" w:hAnsi="Arial" w:cs="Arial"/>
          <w:sz w:val="20"/>
          <w:szCs w:val="20"/>
        </w:rPr>
        <w:t xml:space="preserve">gesetzlicher Regelungen </w:t>
      </w:r>
      <w:r w:rsidR="004F7DF7" w:rsidRPr="007718F0">
        <w:rPr>
          <w:rFonts w:ascii="Arial" w:hAnsi="Arial" w:cs="Arial"/>
          <w:sz w:val="20"/>
          <w:szCs w:val="20"/>
        </w:rPr>
        <w:t>n</w:t>
      </w:r>
      <w:r w:rsidR="00C66BBE" w:rsidRPr="007718F0">
        <w:rPr>
          <w:rFonts w:ascii="Arial" w:hAnsi="Arial" w:cs="Arial"/>
          <w:sz w:val="20"/>
          <w:szCs w:val="20"/>
        </w:rPr>
        <w:t>icht zur Verfügung stehen</w:t>
      </w:r>
      <w:r w:rsidRPr="007718F0">
        <w:rPr>
          <w:rFonts w:ascii="Arial" w:hAnsi="Arial" w:cs="Arial"/>
          <w:sz w:val="20"/>
          <w:szCs w:val="20"/>
        </w:rPr>
        <w:t xml:space="preserve">. </w:t>
      </w:r>
    </w:p>
    <w:p w14:paraId="1B72ADED" w14:textId="77777777" w:rsidR="008167A0" w:rsidRPr="007718F0" w:rsidRDefault="008167A0" w:rsidP="0066415D">
      <w:pPr>
        <w:jc w:val="center"/>
        <w:rPr>
          <w:rFonts w:ascii="Arial" w:hAnsi="Arial" w:cs="Arial"/>
        </w:rPr>
      </w:pPr>
    </w:p>
    <w:p w14:paraId="7DF36D2C" w14:textId="1FBB38CB" w:rsidR="00C445B0" w:rsidRPr="007718F0" w:rsidRDefault="00C445B0" w:rsidP="008C279A">
      <w:pPr>
        <w:jc w:val="center"/>
        <w:rPr>
          <w:rFonts w:ascii="Arial" w:hAnsi="Arial" w:cs="Arial"/>
          <w:b/>
        </w:rPr>
      </w:pPr>
      <w:r w:rsidRPr="007718F0">
        <w:rPr>
          <w:rFonts w:ascii="Arial" w:hAnsi="Arial" w:cs="Arial"/>
          <w:b/>
        </w:rPr>
        <w:t>Entwurf eines Zweiten Gesetzes zur Änderung des Infektionsschutzgesetzes</w:t>
      </w:r>
    </w:p>
    <w:p w14:paraId="698FA042" w14:textId="77777777" w:rsidR="00602C34" w:rsidRPr="007718F0" w:rsidRDefault="00602C34" w:rsidP="008C279A">
      <w:pPr>
        <w:jc w:val="center"/>
        <w:rPr>
          <w:rFonts w:ascii="Arial" w:hAnsi="Arial" w:cs="Arial"/>
          <w:b/>
        </w:rPr>
      </w:pPr>
      <w:r w:rsidRPr="007718F0">
        <w:rPr>
          <w:rFonts w:ascii="Arial" w:hAnsi="Arial" w:cs="Arial"/>
          <w:b/>
        </w:rPr>
        <w:t>§ 5c</w:t>
      </w:r>
    </w:p>
    <w:p w14:paraId="4603EC81" w14:textId="77777777" w:rsidR="00602C34" w:rsidRPr="007718F0" w:rsidRDefault="00602C34" w:rsidP="008C279A">
      <w:pPr>
        <w:jc w:val="center"/>
        <w:rPr>
          <w:rFonts w:ascii="Arial" w:hAnsi="Arial" w:cs="Arial"/>
          <w:b/>
        </w:rPr>
      </w:pPr>
      <w:r w:rsidRPr="007718F0">
        <w:rPr>
          <w:rFonts w:ascii="Arial" w:hAnsi="Arial" w:cs="Arial"/>
          <w:b/>
        </w:rPr>
        <w:t>Verfahren bei aufgrund einer übertragbaren Krankheit nicht ausreichend vorhandenen überlebenswichtigen intensivmedizinischen Behandlungskapazitäten</w:t>
      </w:r>
    </w:p>
    <w:p w14:paraId="1F94EA41" w14:textId="77777777" w:rsidR="005359A3" w:rsidRDefault="005359A3" w:rsidP="008C279A"/>
    <w:p w14:paraId="0743B55D" w14:textId="2A438F68" w:rsidR="00113C35" w:rsidRPr="00463C4A" w:rsidRDefault="00C66BBE" w:rsidP="00463C4A">
      <w:pPr>
        <w:pStyle w:val="Default"/>
        <w:rPr>
          <w:i/>
          <w:iCs/>
        </w:rPr>
      </w:pPr>
      <w:r w:rsidRPr="007718F0">
        <w:rPr>
          <w:sz w:val="20"/>
          <w:szCs w:val="20"/>
        </w:rPr>
        <w:t>Absatz 1 wird zum Ende ergänzt durch</w:t>
      </w:r>
      <w:r w:rsidRPr="007718F0">
        <w:rPr>
          <w:rFonts w:ascii="Calibri" w:hAnsi="Calibri" w:cs="Calibri"/>
          <w:sz w:val="20"/>
          <w:szCs w:val="20"/>
        </w:rPr>
        <w:t>:</w:t>
      </w:r>
      <w:r w:rsidR="008C279A">
        <w:rPr>
          <w:rFonts w:ascii="Calibri" w:hAnsi="Calibri" w:cs="Calibri"/>
          <w:sz w:val="22"/>
          <w:szCs w:val="22"/>
        </w:rPr>
        <w:t xml:space="preserve"> </w:t>
      </w:r>
      <w:r w:rsidR="008C279A" w:rsidRPr="008C279A">
        <w:rPr>
          <w:i/>
          <w:u w:val="single"/>
        </w:rPr>
        <w:t>Die</w:t>
      </w:r>
      <w:r>
        <w:rPr>
          <w:rFonts w:ascii="Calibri" w:hAnsi="Calibri" w:cs="Calibri"/>
          <w:sz w:val="22"/>
          <w:szCs w:val="22"/>
        </w:rPr>
        <w:t xml:space="preserve"> </w:t>
      </w:r>
      <w:r w:rsidR="00ED10B5" w:rsidRPr="00167C53">
        <w:rPr>
          <w:i/>
          <w:iCs/>
          <w:u w:val="single"/>
        </w:rPr>
        <w:t>§</w:t>
      </w:r>
      <w:r w:rsidR="008167A0">
        <w:rPr>
          <w:i/>
          <w:iCs/>
          <w:u w:val="single"/>
        </w:rPr>
        <w:t xml:space="preserve">§ 19 </w:t>
      </w:r>
      <w:r w:rsidR="008C279A">
        <w:rPr>
          <w:i/>
          <w:iCs/>
          <w:u w:val="single"/>
        </w:rPr>
        <w:t>–</w:t>
      </w:r>
      <w:r w:rsidR="00ED10B5" w:rsidRPr="00167C53">
        <w:rPr>
          <w:i/>
          <w:iCs/>
          <w:u w:val="single"/>
        </w:rPr>
        <w:t xml:space="preserve"> 21</w:t>
      </w:r>
      <w:r w:rsidR="008C279A">
        <w:rPr>
          <w:i/>
          <w:iCs/>
          <w:u w:val="single"/>
        </w:rPr>
        <w:t xml:space="preserve"> des</w:t>
      </w:r>
      <w:r w:rsidR="00463C4A">
        <w:rPr>
          <w:i/>
          <w:iCs/>
          <w:u w:val="single"/>
        </w:rPr>
        <w:t xml:space="preserve"> Allgemeines G</w:t>
      </w:r>
      <w:r w:rsidR="00ED10B5" w:rsidRPr="00167C53">
        <w:rPr>
          <w:i/>
          <w:iCs/>
          <w:u w:val="single"/>
        </w:rPr>
        <w:t>leichbehandlungsgesetz</w:t>
      </w:r>
      <w:r w:rsidR="008C279A">
        <w:rPr>
          <w:i/>
          <w:iCs/>
          <w:u w:val="single"/>
        </w:rPr>
        <w:t>es</w:t>
      </w:r>
      <w:r w:rsidR="00ED10B5" w:rsidRPr="00167C53">
        <w:rPr>
          <w:i/>
          <w:iCs/>
          <w:u w:val="single"/>
        </w:rPr>
        <w:t xml:space="preserve"> </w:t>
      </w:r>
      <w:r w:rsidR="00113C35" w:rsidRPr="00167C53">
        <w:rPr>
          <w:i/>
          <w:iCs/>
          <w:u w:val="single"/>
        </w:rPr>
        <w:t xml:space="preserve">(AGG) </w:t>
      </w:r>
      <w:r w:rsidR="008167A0">
        <w:rPr>
          <w:i/>
          <w:iCs/>
          <w:u w:val="single"/>
        </w:rPr>
        <w:t>sind</w:t>
      </w:r>
      <w:r w:rsidR="00ED10B5" w:rsidRPr="00167C53">
        <w:rPr>
          <w:i/>
          <w:iCs/>
          <w:u w:val="single"/>
        </w:rPr>
        <w:t xml:space="preserve"> entsprechend anwendbar.</w:t>
      </w:r>
      <w:r w:rsidR="00ED10B5">
        <w:rPr>
          <w:i/>
          <w:iCs/>
        </w:rPr>
        <w:t xml:space="preserve"> </w:t>
      </w:r>
      <w:r w:rsidR="00ED10B5" w:rsidRPr="007718F0">
        <w:rPr>
          <w:iCs/>
          <w:sz w:val="20"/>
          <w:szCs w:val="20"/>
        </w:rPr>
        <w:t>(siehe Erläuterung A)</w:t>
      </w:r>
      <w:r w:rsidR="00C46545" w:rsidRPr="007718F0">
        <w:rPr>
          <w:i/>
          <w:sz w:val="20"/>
          <w:szCs w:val="20"/>
          <w:u w:val="single"/>
        </w:rPr>
        <w:t xml:space="preserve"> </w:t>
      </w:r>
    </w:p>
    <w:p w14:paraId="5ACE4008" w14:textId="77777777" w:rsidR="00C46545" w:rsidRPr="00C46545" w:rsidRDefault="00C46545" w:rsidP="008C279A">
      <w:pPr>
        <w:pStyle w:val="Default"/>
        <w:ind w:left="643"/>
        <w:rPr>
          <w:i/>
          <w:iCs/>
          <w:u w:val="single"/>
        </w:rPr>
      </w:pPr>
    </w:p>
    <w:p w14:paraId="75D7AA50" w14:textId="77777777" w:rsidR="007718F0" w:rsidRDefault="00C66BBE" w:rsidP="00463C4A">
      <w:pPr>
        <w:pStyle w:val="Default"/>
        <w:rPr>
          <w:i/>
          <w:iCs/>
          <w:sz w:val="20"/>
          <w:szCs w:val="20"/>
          <w:u w:val="single"/>
        </w:rPr>
      </w:pPr>
      <w:r w:rsidRPr="007718F0">
        <w:rPr>
          <w:sz w:val="20"/>
          <w:szCs w:val="20"/>
        </w:rPr>
        <w:t>Absatz 2 lautet neu:</w:t>
      </w:r>
      <w:r>
        <w:t xml:space="preserve"> </w:t>
      </w:r>
      <w:r w:rsidR="00602C34" w:rsidRPr="00113C35">
        <w:rPr>
          <w:i/>
          <w:iCs/>
          <w:u w:val="single"/>
        </w:rPr>
        <w:t>Eine Zuteilungsentscheidung darf nur aufgrund der aktuellen</w:t>
      </w:r>
      <w:r w:rsidR="004F7DF7">
        <w:rPr>
          <w:i/>
          <w:iCs/>
          <w:u w:val="single"/>
        </w:rPr>
        <w:t xml:space="preserve"> und </w:t>
      </w:r>
      <w:r w:rsidR="007947EF">
        <w:rPr>
          <w:i/>
          <w:iCs/>
          <w:u w:val="single"/>
        </w:rPr>
        <w:t>kurzfristig</w:t>
      </w:r>
      <w:r w:rsidR="00D22FA4" w:rsidRPr="00113C35">
        <w:rPr>
          <w:i/>
          <w:iCs/>
          <w:u w:val="single"/>
        </w:rPr>
        <w:t>en</w:t>
      </w:r>
      <w:r w:rsidR="004F7DF7">
        <w:rPr>
          <w:i/>
          <w:iCs/>
          <w:u w:val="single"/>
        </w:rPr>
        <w:t xml:space="preserve"> </w:t>
      </w:r>
      <w:r w:rsidR="00602C34" w:rsidRPr="00113C35">
        <w:rPr>
          <w:i/>
          <w:iCs/>
          <w:u w:val="single"/>
        </w:rPr>
        <w:t xml:space="preserve">Behandlungsindikation, im Sinne eines erkennbaren und erwartbaren Nutzens der </w:t>
      </w:r>
      <w:r w:rsidR="00D22FA4" w:rsidRPr="00113C35">
        <w:rPr>
          <w:i/>
          <w:iCs/>
          <w:u w:val="single"/>
        </w:rPr>
        <w:t xml:space="preserve">intensivmedizinischen </w:t>
      </w:r>
      <w:r w:rsidR="00602C34" w:rsidRPr="00113C35">
        <w:rPr>
          <w:i/>
          <w:iCs/>
          <w:u w:val="single"/>
        </w:rPr>
        <w:t>Behandlung für die betroffenen Patientinnen und Patienten getroffen werden. Komorbid</w:t>
      </w:r>
      <w:r w:rsidR="00284DA2" w:rsidRPr="00113C35">
        <w:rPr>
          <w:i/>
          <w:iCs/>
          <w:u w:val="single"/>
        </w:rPr>
        <w:t>it</w:t>
      </w:r>
      <w:r w:rsidR="00602C34" w:rsidRPr="00113C35">
        <w:rPr>
          <w:i/>
          <w:iCs/>
          <w:u w:val="single"/>
        </w:rPr>
        <w:t>äten dürfen</w:t>
      </w:r>
      <w:r w:rsidR="00D22FA4" w:rsidRPr="00113C35">
        <w:rPr>
          <w:i/>
          <w:iCs/>
          <w:u w:val="single"/>
        </w:rPr>
        <w:t xml:space="preserve"> dabei</w:t>
      </w:r>
      <w:r w:rsidR="00602C34" w:rsidRPr="00113C35">
        <w:rPr>
          <w:i/>
          <w:iCs/>
          <w:u w:val="single"/>
        </w:rPr>
        <w:t xml:space="preserve"> nur berücksich</w:t>
      </w:r>
      <w:r w:rsidR="004F7DF7">
        <w:rPr>
          <w:i/>
          <w:iCs/>
          <w:u w:val="single"/>
        </w:rPr>
        <w:t xml:space="preserve">tigt werden, soweit sie </w:t>
      </w:r>
      <w:r w:rsidR="00602C34" w:rsidRPr="00113C35">
        <w:rPr>
          <w:i/>
          <w:iCs/>
          <w:u w:val="single"/>
        </w:rPr>
        <w:t xml:space="preserve">die Behandlungsindikation ausschließen. Insbesondere </w:t>
      </w:r>
      <w:r w:rsidR="00D22FA4" w:rsidRPr="00113C35">
        <w:rPr>
          <w:i/>
          <w:iCs/>
          <w:u w:val="single"/>
        </w:rPr>
        <w:t xml:space="preserve">darf keine Zuteilungsentscheidung aufgrund bestimmter Typisierungen und Merkmale wie </w:t>
      </w:r>
      <w:r w:rsidR="00602C34" w:rsidRPr="00113C35">
        <w:rPr>
          <w:i/>
          <w:iCs/>
          <w:u w:val="single"/>
        </w:rPr>
        <w:t>Behinderung, Alter,</w:t>
      </w:r>
      <w:r w:rsidR="00D22FA4" w:rsidRPr="00113C35">
        <w:rPr>
          <w:i/>
          <w:iCs/>
          <w:u w:val="single"/>
        </w:rPr>
        <w:t xml:space="preserve"> Geschlecht, Herkunft,</w:t>
      </w:r>
      <w:r w:rsidR="00602C34" w:rsidRPr="00113C35">
        <w:rPr>
          <w:i/>
          <w:iCs/>
          <w:u w:val="single"/>
        </w:rPr>
        <w:t xml:space="preserve"> mittel- oder langfristige</w:t>
      </w:r>
      <w:r w:rsidR="00D22FA4" w:rsidRPr="00113C35">
        <w:rPr>
          <w:i/>
          <w:iCs/>
          <w:u w:val="single"/>
        </w:rPr>
        <w:t>r</w:t>
      </w:r>
      <w:r w:rsidR="00602C34" w:rsidRPr="00113C35">
        <w:rPr>
          <w:i/>
          <w:iCs/>
          <w:u w:val="single"/>
        </w:rPr>
        <w:t xml:space="preserve"> Lebenserwartung, Gebrechlichkeit und Lebensqualität</w:t>
      </w:r>
      <w:r w:rsidR="00D22FA4" w:rsidRPr="00113C35">
        <w:rPr>
          <w:i/>
          <w:iCs/>
          <w:u w:val="single"/>
        </w:rPr>
        <w:t xml:space="preserve"> getroffen werden</w:t>
      </w:r>
      <w:r w:rsidR="00662960" w:rsidRPr="005F0731">
        <w:rPr>
          <w:rFonts w:ascii="Calibri" w:hAnsi="Calibri" w:cs="Calibri"/>
          <w:i/>
          <w:iCs/>
          <w:sz w:val="22"/>
          <w:szCs w:val="22"/>
          <w:u w:val="single"/>
        </w:rPr>
        <w:t>.</w:t>
      </w:r>
      <w:r w:rsidR="0066415D" w:rsidRPr="005F0731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="0066415D" w:rsidRPr="007718F0">
        <w:rPr>
          <w:iCs/>
          <w:sz w:val="20"/>
          <w:szCs w:val="20"/>
        </w:rPr>
        <w:t>(</w:t>
      </w:r>
      <w:r w:rsidR="003C55DA" w:rsidRPr="007718F0">
        <w:rPr>
          <w:iCs/>
          <w:sz w:val="20"/>
          <w:szCs w:val="20"/>
        </w:rPr>
        <w:t xml:space="preserve">siehe </w:t>
      </w:r>
      <w:r w:rsidR="0066415D" w:rsidRPr="007718F0">
        <w:rPr>
          <w:iCs/>
          <w:sz w:val="20"/>
          <w:szCs w:val="20"/>
        </w:rPr>
        <w:t xml:space="preserve">Erläuterung </w:t>
      </w:r>
      <w:r w:rsidR="00ED10B5" w:rsidRPr="007718F0">
        <w:rPr>
          <w:iCs/>
          <w:sz w:val="20"/>
          <w:szCs w:val="20"/>
        </w:rPr>
        <w:t>B</w:t>
      </w:r>
      <w:r w:rsidR="0066415D" w:rsidRPr="007718F0">
        <w:rPr>
          <w:iCs/>
          <w:sz w:val="20"/>
          <w:szCs w:val="20"/>
        </w:rPr>
        <w:t>)</w:t>
      </w:r>
      <w:r w:rsidR="00DB4823" w:rsidRPr="005F0731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="00284DA2" w:rsidRPr="005F0731">
        <w:rPr>
          <w:rFonts w:ascii="Calibri" w:hAnsi="Calibri" w:cs="Calibri"/>
          <w:i/>
          <w:iCs/>
          <w:sz w:val="22"/>
          <w:szCs w:val="22"/>
          <w:u w:val="single"/>
        </w:rPr>
        <w:br/>
      </w:r>
      <w:r w:rsidR="00284DA2" w:rsidRPr="00113C35">
        <w:rPr>
          <w:i/>
          <w:iCs/>
          <w:u w:val="single"/>
        </w:rPr>
        <w:br/>
      </w:r>
      <w:r w:rsidR="00662960" w:rsidRPr="00113C35">
        <w:rPr>
          <w:i/>
          <w:iCs/>
          <w:u w:val="single"/>
        </w:rPr>
        <w:t>Bereits zugeteilte überlebenswichtige intensivmedizinische Behandlungs</w:t>
      </w:r>
      <w:r w:rsidR="005F0731">
        <w:rPr>
          <w:i/>
          <w:iCs/>
          <w:u w:val="single"/>
        </w:rPr>
        <w:t>-</w:t>
      </w:r>
      <w:r w:rsidR="00662960" w:rsidRPr="00113C35">
        <w:rPr>
          <w:i/>
          <w:iCs/>
          <w:u w:val="single"/>
        </w:rPr>
        <w:t>kapazitäten sind von der Zuteilungsentscheidung ausgenommen. Eine Ex-Post-Zuteilungsentscheidung trotz</w:t>
      </w:r>
      <w:r w:rsidR="00D53F1D">
        <w:rPr>
          <w:i/>
          <w:iCs/>
          <w:u w:val="single"/>
        </w:rPr>
        <w:t xml:space="preserve"> bestehender</w:t>
      </w:r>
      <w:r w:rsidR="00662960" w:rsidRPr="00113C35">
        <w:rPr>
          <w:i/>
          <w:iCs/>
          <w:u w:val="single"/>
        </w:rPr>
        <w:t xml:space="preserve"> </w:t>
      </w:r>
      <w:r w:rsidR="00DB4823" w:rsidRPr="00113C35">
        <w:rPr>
          <w:i/>
          <w:iCs/>
          <w:u w:val="single"/>
        </w:rPr>
        <w:t>intensivmedizinischer Behandlungs</w:t>
      </w:r>
      <w:r w:rsidR="00D53F1D">
        <w:rPr>
          <w:i/>
          <w:iCs/>
          <w:u w:val="single"/>
        </w:rPr>
        <w:t>-</w:t>
      </w:r>
      <w:r w:rsidR="00DB4823" w:rsidRPr="00113C35">
        <w:rPr>
          <w:i/>
          <w:iCs/>
          <w:u w:val="single"/>
        </w:rPr>
        <w:t xml:space="preserve">indikation bleibt strafbar. </w:t>
      </w:r>
      <w:r w:rsidR="0066415D" w:rsidRPr="007718F0">
        <w:rPr>
          <w:iCs/>
          <w:sz w:val="20"/>
          <w:szCs w:val="20"/>
        </w:rPr>
        <w:t>(</w:t>
      </w:r>
      <w:r w:rsidR="003C55DA" w:rsidRPr="007718F0">
        <w:rPr>
          <w:iCs/>
          <w:sz w:val="20"/>
          <w:szCs w:val="20"/>
        </w:rPr>
        <w:t xml:space="preserve">siehe </w:t>
      </w:r>
      <w:r w:rsidR="0066415D" w:rsidRPr="007718F0">
        <w:rPr>
          <w:iCs/>
          <w:sz w:val="20"/>
          <w:szCs w:val="20"/>
        </w:rPr>
        <w:t xml:space="preserve">Erläuterung </w:t>
      </w:r>
      <w:r w:rsidR="00ED10B5" w:rsidRPr="007718F0">
        <w:rPr>
          <w:iCs/>
          <w:sz w:val="20"/>
          <w:szCs w:val="20"/>
        </w:rPr>
        <w:t>C</w:t>
      </w:r>
      <w:r w:rsidR="0066415D" w:rsidRPr="007718F0">
        <w:rPr>
          <w:iCs/>
          <w:sz w:val="20"/>
          <w:szCs w:val="20"/>
        </w:rPr>
        <w:t>)</w:t>
      </w:r>
      <w:r w:rsidR="00284DA2" w:rsidRPr="00C46545">
        <w:rPr>
          <w:i/>
          <w:iCs/>
          <w:u w:val="single"/>
        </w:rPr>
        <w:br/>
      </w:r>
      <w:r w:rsidR="00284DA2" w:rsidRPr="00167C53">
        <w:rPr>
          <w:i/>
          <w:iCs/>
          <w:u w:val="single"/>
        </w:rPr>
        <w:br/>
      </w:r>
      <w:r w:rsidR="00602C34" w:rsidRPr="00113C35">
        <w:rPr>
          <w:i/>
          <w:iCs/>
          <w:u w:val="single"/>
        </w:rPr>
        <w:t xml:space="preserve">Bei Patientinnen und Patienten mit Behandlungsindikation, die um nicht ausreichend vorhandene überlebenswichtige intensivmedizinische Behandlungskapazitäten konkurrieren, ist die Zuteilungsentscheidung nach chronologischer Ordnung und bei Gleichzeitigkeit nach dem </w:t>
      </w:r>
      <w:proofErr w:type="spellStart"/>
      <w:r w:rsidR="00602C34" w:rsidRPr="00113C35">
        <w:rPr>
          <w:i/>
          <w:iCs/>
          <w:u w:val="single"/>
        </w:rPr>
        <w:t>Ran</w:t>
      </w:r>
      <w:r w:rsidR="00662960" w:rsidRPr="00113C35">
        <w:rPr>
          <w:i/>
          <w:iCs/>
          <w:u w:val="single"/>
        </w:rPr>
        <w:t>domisierungsprinzip</w:t>
      </w:r>
      <w:proofErr w:type="spellEnd"/>
      <w:r w:rsidR="00662960" w:rsidRPr="00113C35">
        <w:rPr>
          <w:i/>
          <w:iCs/>
          <w:u w:val="single"/>
        </w:rPr>
        <w:t xml:space="preserve"> zu treffen</w:t>
      </w:r>
      <w:r w:rsidR="00662960" w:rsidRPr="007718F0">
        <w:rPr>
          <w:i/>
          <w:iCs/>
          <w:sz w:val="20"/>
          <w:szCs w:val="20"/>
          <w:u w:val="single"/>
        </w:rPr>
        <w:t>.</w:t>
      </w:r>
      <w:r w:rsidR="0066415D" w:rsidRPr="007718F0">
        <w:rPr>
          <w:i/>
          <w:iCs/>
          <w:sz w:val="20"/>
          <w:szCs w:val="20"/>
          <w:u w:val="single"/>
        </w:rPr>
        <w:t xml:space="preserve"> </w:t>
      </w:r>
    </w:p>
    <w:p w14:paraId="4E2EE222" w14:textId="22D8E50B" w:rsidR="00167C53" w:rsidRPr="007718F0" w:rsidRDefault="0066415D" w:rsidP="00463C4A">
      <w:pPr>
        <w:pStyle w:val="Default"/>
        <w:rPr>
          <w:iCs/>
          <w:sz w:val="20"/>
          <w:szCs w:val="20"/>
        </w:rPr>
      </w:pPr>
      <w:r w:rsidRPr="007718F0">
        <w:rPr>
          <w:iCs/>
          <w:sz w:val="20"/>
          <w:szCs w:val="20"/>
        </w:rPr>
        <w:t>(</w:t>
      </w:r>
      <w:r w:rsidR="003C55DA" w:rsidRPr="007718F0">
        <w:rPr>
          <w:iCs/>
          <w:sz w:val="20"/>
          <w:szCs w:val="20"/>
        </w:rPr>
        <w:t xml:space="preserve">siehe </w:t>
      </w:r>
      <w:r w:rsidRPr="007718F0">
        <w:rPr>
          <w:iCs/>
          <w:sz w:val="20"/>
          <w:szCs w:val="20"/>
        </w:rPr>
        <w:t xml:space="preserve">Erläuterung </w:t>
      </w:r>
      <w:r w:rsidR="00ED10B5" w:rsidRPr="007718F0">
        <w:rPr>
          <w:iCs/>
          <w:sz w:val="20"/>
          <w:szCs w:val="20"/>
        </w:rPr>
        <w:t>D</w:t>
      </w:r>
      <w:r w:rsidRPr="007718F0">
        <w:rPr>
          <w:iCs/>
          <w:sz w:val="20"/>
          <w:szCs w:val="20"/>
        </w:rPr>
        <w:t>)</w:t>
      </w:r>
    </w:p>
    <w:p w14:paraId="37B8AAC7" w14:textId="77777777" w:rsidR="00167C53" w:rsidRDefault="00167C53" w:rsidP="008C279A">
      <w:pPr>
        <w:pStyle w:val="Default"/>
        <w:ind w:left="283"/>
        <w:rPr>
          <w:iCs/>
        </w:rPr>
      </w:pPr>
    </w:p>
    <w:p w14:paraId="4323BCB6" w14:textId="3F92ACE3" w:rsidR="00DB4823" w:rsidRDefault="008C279A" w:rsidP="005F0731">
      <w:pPr>
        <w:rPr>
          <w:rFonts w:ascii="Arial" w:hAnsi="Arial" w:cs="Arial"/>
          <w:iCs/>
          <w:sz w:val="20"/>
          <w:szCs w:val="20"/>
        </w:rPr>
      </w:pPr>
      <w:r w:rsidRPr="007718F0">
        <w:rPr>
          <w:rFonts w:ascii="Arial" w:hAnsi="Arial" w:cs="Arial"/>
          <w:sz w:val="20"/>
          <w:szCs w:val="20"/>
        </w:rPr>
        <w:t xml:space="preserve">Absatz 5 </w:t>
      </w:r>
      <w:r w:rsidR="007947EF" w:rsidRPr="007718F0">
        <w:rPr>
          <w:rFonts w:ascii="Arial" w:hAnsi="Arial" w:cs="Arial"/>
          <w:sz w:val="20"/>
          <w:szCs w:val="20"/>
        </w:rPr>
        <w:t>beinhaltet jedenfalls folgende Bestimmung</w:t>
      </w:r>
      <w:r w:rsidR="00C66BBE" w:rsidRPr="007718F0">
        <w:rPr>
          <w:rFonts w:ascii="Arial" w:hAnsi="Arial" w:cs="Arial"/>
          <w:sz w:val="20"/>
          <w:szCs w:val="20"/>
        </w:rPr>
        <w:t>:</w:t>
      </w:r>
      <w:r w:rsidR="00C66BBE">
        <w:t xml:space="preserve"> </w:t>
      </w:r>
      <w:r w:rsidR="00DB4823" w:rsidRPr="005F0731">
        <w:rPr>
          <w:rFonts w:ascii="Arial" w:hAnsi="Arial" w:cs="Arial"/>
          <w:i/>
          <w:sz w:val="24"/>
          <w:szCs w:val="24"/>
          <w:u w:val="single"/>
        </w:rPr>
        <w:t xml:space="preserve">Die Verfahrensanweisungen </w:t>
      </w:r>
      <w:r>
        <w:rPr>
          <w:rFonts w:ascii="Arial" w:hAnsi="Arial" w:cs="Arial"/>
          <w:i/>
          <w:sz w:val="24"/>
          <w:szCs w:val="24"/>
          <w:u w:val="single"/>
        </w:rPr>
        <w:t>werden unter Einbeziehung der</w:t>
      </w:r>
      <w:r w:rsidR="00C66BBE">
        <w:rPr>
          <w:rFonts w:ascii="Arial" w:hAnsi="Arial" w:cs="Arial"/>
          <w:i/>
          <w:sz w:val="24"/>
          <w:szCs w:val="24"/>
          <w:u w:val="single"/>
        </w:rPr>
        <w:t xml:space="preserve"> Landesbehindertenbeauftragten erarbeitet und </w:t>
      </w:r>
      <w:r w:rsidR="00DB4823" w:rsidRPr="005F0731">
        <w:rPr>
          <w:rFonts w:ascii="Arial" w:hAnsi="Arial" w:cs="Arial"/>
          <w:i/>
          <w:sz w:val="24"/>
          <w:szCs w:val="24"/>
          <w:u w:val="single"/>
        </w:rPr>
        <w:t>gewährleisten, dass keine Benachteiligungen im Sinn des Abs. 1 durch Nichtaufn</w:t>
      </w:r>
      <w:r w:rsidR="0066415D" w:rsidRPr="005F0731">
        <w:rPr>
          <w:rFonts w:ascii="Arial" w:hAnsi="Arial" w:cs="Arial"/>
          <w:i/>
          <w:sz w:val="24"/>
          <w:szCs w:val="24"/>
          <w:u w:val="single"/>
        </w:rPr>
        <w:t>a</w:t>
      </w:r>
      <w:r w:rsidR="00DB4823" w:rsidRPr="005F0731">
        <w:rPr>
          <w:rFonts w:ascii="Arial" w:hAnsi="Arial" w:cs="Arial"/>
          <w:i/>
          <w:sz w:val="24"/>
          <w:szCs w:val="24"/>
          <w:u w:val="single"/>
        </w:rPr>
        <w:t>hme in das Krankenhaus erfolgen.</w:t>
      </w:r>
      <w:r w:rsidR="004F7DF7">
        <w:rPr>
          <w:rFonts w:ascii="Arial" w:hAnsi="Arial" w:cs="Arial"/>
          <w:i/>
          <w:sz w:val="24"/>
          <w:szCs w:val="24"/>
          <w:u w:val="single"/>
        </w:rPr>
        <w:t xml:space="preserve"> Es ist </w:t>
      </w:r>
      <w:r w:rsidR="00113C35" w:rsidRPr="005F0731">
        <w:rPr>
          <w:rFonts w:ascii="Arial" w:hAnsi="Arial" w:cs="Arial"/>
          <w:i/>
          <w:sz w:val="24"/>
          <w:szCs w:val="24"/>
          <w:u w:val="single"/>
        </w:rPr>
        <w:t xml:space="preserve">ferner zu </w:t>
      </w:r>
      <w:r w:rsidR="00890B22" w:rsidRPr="005F0731">
        <w:rPr>
          <w:rFonts w:ascii="Arial" w:hAnsi="Arial" w:cs="Arial"/>
          <w:i/>
          <w:sz w:val="24"/>
          <w:szCs w:val="24"/>
          <w:u w:val="single"/>
        </w:rPr>
        <w:t>gewährleisten, dass jede Patientin und jeder Patient</w:t>
      </w:r>
      <w:r>
        <w:rPr>
          <w:rFonts w:ascii="Arial" w:hAnsi="Arial" w:cs="Arial"/>
          <w:i/>
          <w:sz w:val="24"/>
          <w:szCs w:val="24"/>
          <w:u w:val="single"/>
        </w:rPr>
        <w:t xml:space="preserve"> bei der oder dem eine medizinische Indikation gegeben ist und eine</w:t>
      </w:r>
      <w:r w:rsidR="00890B22" w:rsidRPr="005F0731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(tatsächliche oder mutmaßliche) Einwilligung vorliegt, </w:t>
      </w:r>
      <w:r w:rsidR="004F7DF7">
        <w:rPr>
          <w:rFonts w:ascii="Arial" w:hAnsi="Arial" w:cs="Arial"/>
          <w:i/>
          <w:sz w:val="24"/>
          <w:szCs w:val="24"/>
          <w:u w:val="single"/>
        </w:rPr>
        <w:t xml:space="preserve">gleichberechtigt </w:t>
      </w:r>
      <w:r w:rsidR="00890B22" w:rsidRPr="005F0731">
        <w:rPr>
          <w:rFonts w:ascii="Arial" w:hAnsi="Arial" w:cs="Arial"/>
          <w:i/>
          <w:sz w:val="24"/>
          <w:szCs w:val="24"/>
          <w:u w:val="single"/>
        </w:rPr>
        <w:t>Zugang zu einer intensivmedizinischen Behandlung erhält</w:t>
      </w:r>
      <w:r w:rsidR="005F0731">
        <w:rPr>
          <w:rFonts w:ascii="Arial" w:hAnsi="Arial" w:cs="Arial"/>
          <w:i/>
          <w:sz w:val="24"/>
          <w:szCs w:val="24"/>
          <w:u w:val="single"/>
        </w:rPr>
        <w:t>.</w:t>
      </w:r>
      <w:r w:rsidR="00DB4823" w:rsidRPr="005F0731">
        <w:rPr>
          <w:rFonts w:ascii="Arial" w:hAnsi="Arial" w:cs="Arial"/>
          <w:i/>
          <w:sz w:val="24"/>
          <w:szCs w:val="24"/>
        </w:rPr>
        <w:t xml:space="preserve"> </w:t>
      </w:r>
      <w:r w:rsidR="0066415D" w:rsidRPr="007718F0">
        <w:rPr>
          <w:rFonts w:ascii="Arial" w:hAnsi="Arial" w:cs="Arial"/>
          <w:iCs/>
          <w:sz w:val="20"/>
          <w:szCs w:val="20"/>
        </w:rPr>
        <w:t>(</w:t>
      </w:r>
      <w:r w:rsidR="003C55DA" w:rsidRPr="007718F0">
        <w:rPr>
          <w:rFonts w:ascii="Arial" w:hAnsi="Arial" w:cs="Arial"/>
          <w:iCs/>
          <w:sz w:val="20"/>
          <w:szCs w:val="20"/>
        </w:rPr>
        <w:t xml:space="preserve">siehe </w:t>
      </w:r>
      <w:r w:rsidR="00613410" w:rsidRPr="007718F0">
        <w:rPr>
          <w:rFonts w:ascii="Arial" w:hAnsi="Arial" w:cs="Arial"/>
          <w:iCs/>
          <w:sz w:val="20"/>
          <w:szCs w:val="20"/>
        </w:rPr>
        <w:t>Erläuterung E</w:t>
      </w:r>
      <w:r w:rsidR="007718F0">
        <w:rPr>
          <w:rFonts w:ascii="Arial" w:hAnsi="Arial" w:cs="Arial"/>
          <w:iCs/>
          <w:sz w:val="20"/>
          <w:szCs w:val="20"/>
        </w:rPr>
        <w:t>)</w:t>
      </w:r>
    </w:p>
    <w:p w14:paraId="78FF47CB" w14:textId="77777777" w:rsidR="007718F0" w:rsidRDefault="007718F0" w:rsidP="005F0731"/>
    <w:p w14:paraId="4A78A4D5" w14:textId="77777777" w:rsidR="003C55DA" w:rsidRPr="00C46545" w:rsidRDefault="003C55DA" w:rsidP="003C55DA">
      <w:pPr>
        <w:rPr>
          <w:b/>
          <w:sz w:val="24"/>
          <w:szCs w:val="24"/>
        </w:rPr>
      </w:pPr>
    </w:p>
    <w:p w14:paraId="11584AD6" w14:textId="502954A4" w:rsidR="003C55DA" w:rsidRPr="007718F0" w:rsidRDefault="003C55DA" w:rsidP="003C55DA">
      <w:pPr>
        <w:jc w:val="center"/>
        <w:rPr>
          <w:rFonts w:ascii="Arial" w:hAnsi="Arial" w:cs="Arial"/>
          <w:b/>
          <w:sz w:val="28"/>
          <w:szCs w:val="28"/>
        </w:rPr>
      </w:pPr>
      <w:r w:rsidRPr="007718F0">
        <w:rPr>
          <w:rFonts w:ascii="Arial" w:hAnsi="Arial" w:cs="Arial"/>
          <w:b/>
          <w:sz w:val="28"/>
          <w:szCs w:val="28"/>
        </w:rPr>
        <w:t>Erläuterung</w:t>
      </w:r>
      <w:r w:rsidR="007718F0" w:rsidRPr="007718F0">
        <w:rPr>
          <w:rFonts w:ascii="Arial" w:hAnsi="Arial" w:cs="Arial"/>
          <w:b/>
          <w:sz w:val="28"/>
          <w:szCs w:val="28"/>
        </w:rPr>
        <w:t xml:space="preserve">en </w:t>
      </w:r>
      <w:r w:rsidRPr="007718F0">
        <w:rPr>
          <w:rFonts w:ascii="Arial" w:hAnsi="Arial" w:cs="Arial"/>
          <w:b/>
          <w:sz w:val="28"/>
          <w:szCs w:val="28"/>
        </w:rPr>
        <w:t>des Runden Tischs Triage</w:t>
      </w:r>
    </w:p>
    <w:p w14:paraId="033BA3DA" w14:textId="77777777" w:rsidR="003C55DA" w:rsidRPr="007718F0" w:rsidRDefault="003C55DA" w:rsidP="003C55DA">
      <w:pPr>
        <w:rPr>
          <w:rFonts w:ascii="Arial" w:hAnsi="Arial" w:cs="Arial"/>
          <w:b/>
        </w:rPr>
      </w:pPr>
    </w:p>
    <w:p w14:paraId="2A24ED28" w14:textId="792BB138" w:rsidR="00260BBE" w:rsidRPr="007718F0" w:rsidRDefault="00260BBE" w:rsidP="00260BB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718F0">
        <w:rPr>
          <w:rFonts w:ascii="Arial" w:hAnsi="Arial" w:cs="Arial"/>
        </w:rPr>
        <w:t>Auf den ärztlichen Behandlungsvertrag ist</w:t>
      </w:r>
      <w:r w:rsidR="004E2513" w:rsidRPr="007718F0">
        <w:rPr>
          <w:rFonts w:ascii="Arial" w:hAnsi="Arial" w:cs="Arial"/>
        </w:rPr>
        <w:t xml:space="preserve"> das AGG anwendbar</w:t>
      </w:r>
      <w:r w:rsidRPr="007718F0">
        <w:rPr>
          <w:rFonts w:ascii="Arial" w:hAnsi="Arial" w:cs="Arial"/>
        </w:rPr>
        <w:t>, wie die Antidiskriminierungsstelle des Bundes</w:t>
      </w:r>
      <w:r w:rsidR="00C46545" w:rsidRPr="007718F0">
        <w:rPr>
          <w:rFonts w:ascii="Arial" w:hAnsi="Arial" w:cs="Arial"/>
        </w:rPr>
        <w:t xml:space="preserve"> </w:t>
      </w:r>
      <w:r w:rsidR="004F7DF7" w:rsidRPr="007718F0">
        <w:rPr>
          <w:rFonts w:ascii="Arial" w:hAnsi="Arial" w:cs="Arial"/>
        </w:rPr>
        <w:t xml:space="preserve">zutreffend </w:t>
      </w:r>
      <w:r w:rsidR="00C46545" w:rsidRPr="007718F0">
        <w:rPr>
          <w:rFonts w:ascii="Arial" w:hAnsi="Arial" w:cs="Arial"/>
        </w:rPr>
        <w:t>feststell</w:t>
      </w:r>
      <w:r w:rsidR="004E2513" w:rsidRPr="007718F0">
        <w:rPr>
          <w:rFonts w:ascii="Arial" w:hAnsi="Arial" w:cs="Arial"/>
        </w:rPr>
        <w:t>t</w:t>
      </w:r>
      <w:r w:rsidR="007947EF" w:rsidRPr="007718F0">
        <w:rPr>
          <w:rFonts w:ascii="Arial" w:hAnsi="Arial" w:cs="Arial"/>
        </w:rPr>
        <w:t>,</w:t>
      </w:r>
      <w:r w:rsidR="00FD4800" w:rsidRPr="007718F0">
        <w:rPr>
          <w:rStyle w:val="Funotenzeichen"/>
          <w:rFonts w:ascii="Arial" w:hAnsi="Arial" w:cs="Arial"/>
        </w:rPr>
        <w:footnoteReference w:id="1"/>
      </w:r>
      <w:r w:rsidR="004F7DF7" w:rsidRPr="007718F0">
        <w:rPr>
          <w:rFonts w:ascii="Arial" w:hAnsi="Arial" w:cs="Arial"/>
        </w:rPr>
        <w:t xml:space="preserve"> ohne dass dies in der Literatur und Rechtsprechung einmütig anerkannt wäre. Ein</w:t>
      </w:r>
      <w:r w:rsidRPr="007718F0">
        <w:rPr>
          <w:rFonts w:ascii="Arial" w:hAnsi="Arial" w:cs="Arial"/>
        </w:rPr>
        <w:t xml:space="preserve">e gesetzliche Klarstellung </w:t>
      </w:r>
      <w:r w:rsidR="004F7DF7" w:rsidRPr="007718F0">
        <w:rPr>
          <w:rFonts w:ascii="Arial" w:hAnsi="Arial" w:cs="Arial"/>
        </w:rPr>
        <w:t xml:space="preserve">im AGG </w:t>
      </w:r>
      <w:r w:rsidRPr="007718F0">
        <w:rPr>
          <w:rFonts w:ascii="Arial" w:hAnsi="Arial" w:cs="Arial"/>
        </w:rPr>
        <w:t xml:space="preserve">ist </w:t>
      </w:r>
      <w:r w:rsidR="004F7DF7" w:rsidRPr="007718F0">
        <w:rPr>
          <w:rFonts w:ascii="Arial" w:hAnsi="Arial" w:cs="Arial"/>
        </w:rPr>
        <w:t xml:space="preserve">daher </w:t>
      </w:r>
      <w:r w:rsidRPr="007718F0">
        <w:rPr>
          <w:rFonts w:ascii="Arial" w:hAnsi="Arial" w:cs="Arial"/>
        </w:rPr>
        <w:t>angesichts der hier zu schützenden hochrangigen Rechtsgüter erforderlich.</w:t>
      </w:r>
      <w:r w:rsidR="00FD4800" w:rsidRPr="007718F0">
        <w:rPr>
          <w:rFonts w:ascii="Arial" w:hAnsi="Arial" w:cs="Arial"/>
        </w:rPr>
        <w:br/>
      </w:r>
    </w:p>
    <w:p w14:paraId="220986D6" w14:textId="31F3EAE0" w:rsidR="003C55DA" w:rsidRPr="007718F0" w:rsidRDefault="003C55DA" w:rsidP="003C55D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718F0">
        <w:rPr>
          <w:rFonts w:ascii="Arial" w:hAnsi="Arial" w:cs="Arial"/>
        </w:rPr>
        <w:t>Die „aktuelle und kurzfristige Überlebenswahrscheinlichkeit“ ist ausschließlich im Sinne einer Behandlungsindikation zu verst</w:t>
      </w:r>
      <w:r w:rsidR="00D82FCC" w:rsidRPr="007718F0">
        <w:rPr>
          <w:rFonts w:ascii="Arial" w:hAnsi="Arial" w:cs="Arial"/>
        </w:rPr>
        <w:t>ehen. Ein Vergleich geschätzter und bezifferter</w:t>
      </w:r>
      <w:r w:rsidRPr="007718F0">
        <w:rPr>
          <w:rFonts w:ascii="Arial" w:hAnsi="Arial" w:cs="Arial"/>
        </w:rPr>
        <w:t xml:space="preserve"> </w:t>
      </w:r>
      <w:r w:rsidR="00C46545" w:rsidRPr="007718F0">
        <w:rPr>
          <w:rFonts w:ascii="Arial" w:hAnsi="Arial" w:cs="Arial"/>
        </w:rPr>
        <w:t>Ü</w:t>
      </w:r>
      <w:r w:rsidRPr="007718F0">
        <w:rPr>
          <w:rFonts w:ascii="Arial" w:hAnsi="Arial" w:cs="Arial"/>
        </w:rPr>
        <w:t xml:space="preserve">berlebenswahrscheinlichkeiten widerspricht </w:t>
      </w:r>
      <w:r w:rsidR="00D22FA4" w:rsidRPr="007718F0">
        <w:rPr>
          <w:rFonts w:ascii="Arial" w:hAnsi="Arial" w:cs="Arial"/>
        </w:rPr>
        <w:t xml:space="preserve">grund- und </w:t>
      </w:r>
      <w:r w:rsidRPr="007718F0">
        <w:rPr>
          <w:rFonts w:ascii="Arial" w:hAnsi="Arial" w:cs="Arial"/>
        </w:rPr>
        <w:t>menschenrechtlichen Grundwerten und bleibt verboten.</w:t>
      </w:r>
      <w:r w:rsidRPr="007718F0">
        <w:rPr>
          <w:rFonts w:ascii="Arial" w:hAnsi="Arial" w:cs="Arial"/>
        </w:rPr>
        <w:br/>
      </w:r>
    </w:p>
    <w:p w14:paraId="628692C3" w14:textId="21678F8B" w:rsidR="003C55DA" w:rsidRPr="007718F0" w:rsidRDefault="003C55DA" w:rsidP="003C55D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718F0">
        <w:rPr>
          <w:rFonts w:ascii="Arial" w:hAnsi="Arial" w:cs="Arial"/>
        </w:rPr>
        <w:t>Eine Ex-Pos</w:t>
      </w:r>
      <w:r w:rsidR="004F7DF7" w:rsidRPr="007718F0">
        <w:rPr>
          <w:rFonts w:ascii="Arial" w:hAnsi="Arial" w:cs="Arial"/>
        </w:rPr>
        <w:t>t-Triage bleibt nicht nur ausgeschloss</w:t>
      </w:r>
      <w:r w:rsidRPr="007718F0">
        <w:rPr>
          <w:rFonts w:ascii="Arial" w:hAnsi="Arial" w:cs="Arial"/>
        </w:rPr>
        <w:t>en, sondern auch strafbar.</w:t>
      </w:r>
      <w:r w:rsidRPr="007718F0">
        <w:rPr>
          <w:rFonts w:ascii="Arial" w:hAnsi="Arial" w:cs="Arial"/>
        </w:rPr>
        <w:br/>
      </w:r>
    </w:p>
    <w:p w14:paraId="78F3306E" w14:textId="77777777" w:rsidR="00D82FCC" w:rsidRPr="007718F0" w:rsidRDefault="003C55DA" w:rsidP="003C55D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718F0">
        <w:rPr>
          <w:rFonts w:ascii="Arial" w:hAnsi="Arial" w:cs="Arial"/>
        </w:rPr>
        <w:t xml:space="preserve">Der Runde Tisch Triage schließt sich den Auffassungen von BODYS und des Deutschen Instituts für Menschenrechte an, die </w:t>
      </w:r>
      <w:r w:rsidR="006A5658" w:rsidRPr="007718F0">
        <w:rPr>
          <w:rFonts w:ascii="Arial" w:hAnsi="Arial" w:cs="Arial"/>
        </w:rPr>
        <w:t xml:space="preserve">im Falle nicht ausreichender intensivmedizinischer Behandlungskapazitäten </w:t>
      </w:r>
      <w:r w:rsidRPr="007718F0">
        <w:rPr>
          <w:rFonts w:ascii="Arial" w:hAnsi="Arial" w:cs="Arial"/>
        </w:rPr>
        <w:t xml:space="preserve">ein </w:t>
      </w:r>
      <w:proofErr w:type="spellStart"/>
      <w:r w:rsidRPr="007718F0">
        <w:rPr>
          <w:rFonts w:ascii="Arial" w:hAnsi="Arial" w:cs="Arial"/>
        </w:rPr>
        <w:t>Randomisierungsverfahren</w:t>
      </w:r>
      <w:proofErr w:type="spellEnd"/>
      <w:r w:rsidRPr="007718F0">
        <w:rPr>
          <w:rFonts w:ascii="Arial" w:hAnsi="Arial" w:cs="Arial"/>
        </w:rPr>
        <w:t xml:space="preserve"> für die einzige menschenrechtlich vertretbare Lösung </w:t>
      </w:r>
      <w:r w:rsidR="006A5658" w:rsidRPr="007718F0">
        <w:rPr>
          <w:rFonts w:ascii="Arial" w:hAnsi="Arial" w:cs="Arial"/>
        </w:rPr>
        <w:t xml:space="preserve">für eine Zuteilungsentscheidung </w:t>
      </w:r>
      <w:r w:rsidRPr="007718F0">
        <w:rPr>
          <w:rFonts w:ascii="Arial" w:hAnsi="Arial" w:cs="Arial"/>
        </w:rPr>
        <w:t>halten.</w:t>
      </w:r>
      <w:r w:rsidR="00FD4800" w:rsidRPr="007718F0">
        <w:rPr>
          <w:rFonts w:ascii="Arial" w:hAnsi="Arial" w:cs="Arial"/>
        </w:rPr>
        <w:t xml:space="preserve"> Die</w:t>
      </w:r>
      <w:r w:rsidR="004E2513" w:rsidRPr="007718F0">
        <w:rPr>
          <w:rFonts w:ascii="Arial" w:hAnsi="Arial" w:cs="Arial"/>
        </w:rPr>
        <w:t>s</w:t>
      </w:r>
      <w:r w:rsidR="00FD4800" w:rsidRPr="007718F0">
        <w:rPr>
          <w:rFonts w:ascii="Arial" w:hAnsi="Arial" w:cs="Arial"/>
        </w:rPr>
        <w:t xml:space="preserve"> ist auch das einzi</w:t>
      </w:r>
      <w:r w:rsidR="00C46545" w:rsidRPr="007718F0">
        <w:rPr>
          <w:rFonts w:ascii="Arial" w:hAnsi="Arial" w:cs="Arial"/>
        </w:rPr>
        <w:t xml:space="preserve">g akzeptable Verfahren, das </w:t>
      </w:r>
      <w:r w:rsidR="00FD4800" w:rsidRPr="007718F0">
        <w:rPr>
          <w:rFonts w:ascii="Arial" w:hAnsi="Arial" w:cs="Arial"/>
        </w:rPr>
        <w:t>die behandelnden Ärzt</w:t>
      </w:r>
      <w:r w:rsidR="00C46545" w:rsidRPr="007718F0">
        <w:rPr>
          <w:rFonts w:ascii="Arial" w:hAnsi="Arial" w:cs="Arial"/>
        </w:rPr>
        <w:t>inn</w:t>
      </w:r>
      <w:r w:rsidR="00FD4800" w:rsidRPr="007718F0">
        <w:rPr>
          <w:rFonts w:ascii="Arial" w:hAnsi="Arial" w:cs="Arial"/>
        </w:rPr>
        <w:t>e</w:t>
      </w:r>
      <w:r w:rsidR="00C46545" w:rsidRPr="007718F0">
        <w:rPr>
          <w:rFonts w:ascii="Arial" w:hAnsi="Arial" w:cs="Arial"/>
        </w:rPr>
        <w:t>n</w:t>
      </w:r>
      <w:r w:rsidR="00FD4800" w:rsidRPr="007718F0">
        <w:rPr>
          <w:rFonts w:ascii="Arial" w:hAnsi="Arial" w:cs="Arial"/>
        </w:rPr>
        <w:t xml:space="preserve"> </w:t>
      </w:r>
      <w:r w:rsidR="00613410" w:rsidRPr="007718F0">
        <w:rPr>
          <w:rFonts w:ascii="Arial" w:hAnsi="Arial" w:cs="Arial"/>
        </w:rPr>
        <w:t xml:space="preserve">und Ärzte </w:t>
      </w:r>
      <w:r w:rsidR="00FD4800" w:rsidRPr="007718F0">
        <w:rPr>
          <w:rFonts w:ascii="Arial" w:hAnsi="Arial" w:cs="Arial"/>
        </w:rPr>
        <w:t xml:space="preserve">in einer extremen Dilemma- und Überforderungssituation </w:t>
      </w:r>
      <w:r w:rsidR="00D82FCC" w:rsidRPr="007718F0">
        <w:rPr>
          <w:rFonts w:ascii="Arial" w:hAnsi="Arial" w:cs="Arial"/>
        </w:rPr>
        <w:t xml:space="preserve">von einer Verpflichtung zu einer qualitativen Selektion </w:t>
      </w:r>
      <w:r w:rsidR="00FD4800" w:rsidRPr="007718F0">
        <w:rPr>
          <w:rFonts w:ascii="Arial" w:hAnsi="Arial" w:cs="Arial"/>
        </w:rPr>
        <w:t xml:space="preserve">entlastet. </w:t>
      </w:r>
    </w:p>
    <w:p w14:paraId="5FB93D92" w14:textId="5BAF8E4E" w:rsidR="006A5658" w:rsidRPr="007718F0" w:rsidRDefault="004E2513" w:rsidP="00D82FCC">
      <w:pPr>
        <w:pStyle w:val="Listenabsatz"/>
        <w:ind w:left="360"/>
        <w:rPr>
          <w:rFonts w:ascii="Arial" w:hAnsi="Arial" w:cs="Arial"/>
        </w:rPr>
      </w:pPr>
      <w:r w:rsidRPr="007718F0">
        <w:rPr>
          <w:rFonts w:ascii="Arial" w:hAnsi="Arial" w:cs="Arial"/>
        </w:rPr>
        <w:br/>
      </w:r>
      <w:r w:rsidR="003C55DA" w:rsidRPr="007718F0">
        <w:rPr>
          <w:rFonts w:ascii="Arial" w:hAnsi="Arial" w:cs="Arial"/>
        </w:rPr>
        <w:t xml:space="preserve">Eingedenk </w:t>
      </w:r>
      <w:r w:rsidR="00FD4800" w:rsidRPr="007718F0">
        <w:rPr>
          <w:rFonts w:ascii="Arial" w:hAnsi="Arial" w:cs="Arial"/>
        </w:rPr>
        <w:t xml:space="preserve">von </w:t>
      </w:r>
      <w:r w:rsidR="00C46545" w:rsidRPr="007718F0">
        <w:rPr>
          <w:rFonts w:ascii="Arial" w:hAnsi="Arial" w:cs="Arial"/>
        </w:rPr>
        <w:t>bestehend</w:t>
      </w:r>
      <w:r w:rsidR="00FD4800" w:rsidRPr="007718F0">
        <w:rPr>
          <w:rFonts w:ascii="Arial" w:hAnsi="Arial" w:cs="Arial"/>
        </w:rPr>
        <w:t xml:space="preserve">en </w:t>
      </w:r>
      <w:r w:rsidR="003C55DA" w:rsidRPr="007718F0">
        <w:rPr>
          <w:rFonts w:ascii="Arial" w:hAnsi="Arial" w:cs="Arial"/>
        </w:rPr>
        <w:t>Vorbehalte</w:t>
      </w:r>
      <w:r w:rsidR="00FD4800" w:rsidRPr="007718F0">
        <w:rPr>
          <w:rFonts w:ascii="Arial" w:hAnsi="Arial" w:cs="Arial"/>
        </w:rPr>
        <w:t>n</w:t>
      </w:r>
      <w:r w:rsidR="004F7DF7" w:rsidRPr="007718F0">
        <w:rPr>
          <w:rFonts w:ascii="Arial" w:hAnsi="Arial" w:cs="Arial"/>
        </w:rPr>
        <w:t xml:space="preserve"> gegen diese Lösung ford</w:t>
      </w:r>
      <w:r w:rsidR="003C55DA" w:rsidRPr="007718F0">
        <w:rPr>
          <w:rFonts w:ascii="Arial" w:hAnsi="Arial" w:cs="Arial"/>
        </w:rPr>
        <w:t>e</w:t>
      </w:r>
      <w:r w:rsidR="004F7DF7" w:rsidRPr="007718F0">
        <w:rPr>
          <w:rFonts w:ascii="Arial" w:hAnsi="Arial" w:cs="Arial"/>
        </w:rPr>
        <w:t>r</w:t>
      </w:r>
      <w:r w:rsidR="003C55DA" w:rsidRPr="007718F0">
        <w:rPr>
          <w:rFonts w:ascii="Arial" w:hAnsi="Arial" w:cs="Arial"/>
        </w:rPr>
        <w:t xml:space="preserve">n wir </w:t>
      </w:r>
      <w:r w:rsidR="004F7DF7" w:rsidRPr="007718F0">
        <w:rPr>
          <w:rFonts w:ascii="Arial" w:hAnsi="Arial" w:cs="Arial"/>
        </w:rPr>
        <w:t xml:space="preserve">zeitnah </w:t>
      </w:r>
      <w:r w:rsidR="003C55DA" w:rsidRPr="007718F0">
        <w:rPr>
          <w:rFonts w:ascii="Arial" w:hAnsi="Arial" w:cs="Arial"/>
        </w:rPr>
        <w:t>eine wissenschaftlich fundierte, menschenrechtlich orientierte Auseinanders</w:t>
      </w:r>
      <w:r w:rsidR="004F7DF7" w:rsidRPr="007718F0">
        <w:rPr>
          <w:rFonts w:ascii="Arial" w:hAnsi="Arial" w:cs="Arial"/>
        </w:rPr>
        <w:t>etzung mit der Fragestellung</w:t>
      </w:r>
      <w:r w:rsidR="003C55DA" w:rsidRPr="007718F0">
        <w:rPr>
          <w:rFonts w:ascii="Arial" w:hAnsi="Arial" w:cs="Arial"/>
        </w:rPr>
        <w:t>.</w:t>
      </w:r>
    </w:p>
    <w:p w14:paraId="6D9B49A6" w14:textId="77777777" w:rsidR="005F0731" w:rsidRPr="007718F0" w:rsidRDefault="005F0731" w:rsidP="005F0731">
      <w:pPr>
        <w:pStyle w:val="Listenabsatz"/>
        <w:ind w:left="360"/>
        <w:rPr>
          <w:rFonts w:ascii="Arial" w:hAnsi="Arial" w:cs="Arial"/>
        </w:rPr>
      </w:pPr>
    </w:p>
    <w:p w14:paraId="467A4403" w14:textId="40E1252E" w:rsidR="003C55DA" w:rsidRPr="007718F0" w:rsidRDefault="003C55DA" w:rsidP="005F07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718F0">
        <w:rPr>
          <w:rFonts w:ascii="Arial" w:hAnsi="Arial" w:cs="Arial"/>
        </w:rPr>
        <w:t>Eine „Triage vor der Triage“, also eine Selektion im Vorfeld und somit Verw</w:t>
      </w:r>
      <w:r w:rsidR="004F7DF7" w:rsidRPr="007718F0">
        <w:rPr>
          <w:rFonts w:ascii="Arial" w:hAnsi="Arial" w:cs="Arial"/>
        </w:rPr>
        <w:t>eigerung der intensivmedizinischen Behandlung</w:t>
      </w:r>
      <w:r w:rsidRPr="007718F0">
        <w:rPr>
          <w:rFonts w:ascii="Arial" w:hAnsi="Arial" w:cs="Arial"/>
        </w:rPr>
        <w:t xml:space="preserve"> wird </w:t>
      </w:r>
      <w:r w:rsidR="00FD4800" w:rsidRPr="007718F0">
        <w:rPr>
          <w:rFonts w:ascii="Arial" w:hAnsi="Arial" w:cs="Arial"/>
        </w:rPr>
        <w:t>durch diese</w:t>
      </w:r>
      <w:r w:rsidR="00613410" w:rsidRPr="007718F0">
        <w:rPr>
          <w:rFonts w:ascii="Arial" w:hAnsi="Arial" w:cs="Arial"/>
        </w:rPr>
        <w:t xml:space="preserve"> </w:t>
      </w:r>
      <w:r w:rsidR="00FD4800" w:rsidRPr="007718F0">
        <w:rPr>
          <w:rFonts w:ascii="Arial" w:hAnsi="Arial" w:cs="Arial"/>
        </w:rPr>
        <w:t xml:space="preserve">Klarstellung </w:t>
      </w:r>
      <w:r w:rsidRPr="007718F0">
        <w:rPr>
          <w:rFonts w:ascii="Arial" w:hAnsi="Arial" w:cs="Arial"/>
        </w:rPr>
        <w:t>verhindert.</w:t>
      </w:r>
      <w:r w:rsidR="00C66BBE" w:rsidRPr="007718F0">
        <w:rPr>
          <w:rFonts w:ascii="Arial" w:hAnsi="Arial" w:cs="Arial"/>
        </w:rPr>
        <w:t xml:space="preserve"> Außerdem wird vermieden, dass die Kliniken die Verfahrensregelungen ausschließlich in eigener Regie festlegen.</w:t>
      </w:r>
    </w:p>
    <w:p w14:paraId="5B900DBE" w14:textId="77777777" w:rsidR="007B3794" w:rsidRPr="007718F0" w:rsidRDefault="007B3794" w:rsidP="00DB4823">
      <w:pPr>
        <w:pStyle w:val="Listenabsatz"/>
        <w:rPr>
          <w:rFonts w:ascii="Arial" w:hAnsi="Arial" w:cs="Arial"/>
        </w:rPr>
      </w:pPr>
    </w:p>
    <w:p w14:paraId="0B2FB90C" w14:textId="16BD8684" w:rsidR="007B3794" w:rsidRPr="007718F0" w:rsidRDefault="005F0731" w:rsidP="007B3794">
      <w:pPr>
        <w:rPr>
          <w:rFonts w:ascii="Arial" w:hAnsi="Arial" w:cs="Arial"/>
        </w:rPr>
      </w:pPr>
      <w:r w:rsidRPr="007718F0">
        <w:rPr>
          <w:rFonts w:ascii="Arial" w:hAnsi="Arial" w:cs="Arial"/>
        </w:rPr>
        <w:t>D</w:t>
      </w:r>
      <w:r w:rsidR="007B3794" w:rsidRPr="007718F0">
        <w:rPr>
          <w:rFonts w:ascii="Arial" w:hAnsi="Arial" w:cs="Arial"/>
        </w:rPr>
        <w:t>er „Runde Tisch Triage“ (</w:t>
      </w:r>
      <w:hyperlink r:id="rId8" w:history="1">
        <w:r w:rsidR="007B3794" w:rsidRPr="007718F0">
          <w:rPr>
            <w:rStyle w:val="Hyperlink0"/>
            <w:rFonts w:ascii="Arial" w:hAnsi="Arial" w:cs="Arial"/>
          </w:rPr>
          <w:t>www.runder-tisch-triage.de</w:t>
        </w:r>
      </w:hyperlink>
      <w:r w:rsidR="007B3794" w:rsidRPr="007718F0">
        <w:rPr>
          <w:rFonts w:ascii="Arial" w:hAnsi="Arial" w:cs="Arial"/>
        </w:rPr>
        <w:t>) ist ein Zusammenschluss der LIGA Selbstvertretung (</w:t>
      </w:r>
      <w:hyperlink r:id="rId9" w:history="1">
        <w:r w:rsidR="007B3794" w:rsidRPr="007718F0">
          <w:rPr>
            <w:rStyle w:val="Hyperlink0"/>
            <w:rFonts w:ascii="Arial" w:hAnsi="Arial" w:cs="Arial"/>
          </w:rPr>
          <w:t>http://liga-selbstvertretung.de</w:t>
        </w:r>
      </w:hyperlink>
      <w:r w:rsidR="007B3794" w:rsidRPr="007718F0">
        <w:rPr>
          <w:rFonts w:ascii="Arial" w:hAnsi="Arial" w:cs="Arial"/>
        </w:rPr>
        <w:t>) , der Caritas Behindertenhilfe und Psychiatrie (CBP) (</w:t>
      </w:r>
      <w:hyperlink r:id="rId10" w:history="1">
        <w:r w:rsidR="007B3794" w:rsidRPr="007718F0">
          <w:rPr>
            <w:rStyle w:val="Hyperlink0"/>
            <w:rFonts w:ascii="Arial" w:hAnsi="Arial" w:cs="Arial"/>
          </w:rPr>
          <w:t>www.cbp.caritas.de</w:t>
        </w:r>
      </w:hyperlink>
      <w:r w:rsidR="007B3794" w:rsidRPr="007718F0">
        <w:rPr>
          <w:rFonts w:ascii="Arial" w:hAnsi="Arial" w:cs="Arial"/>
        </w:rPr>
        <w:t>) sowie des Forums behinderter Juristinnen und Juristen (</w:t>
      </w:r>
      <w:proofErr w:type="spellStart"/>
      <w:r w:rsidR="007B3794" w:rsidRPr="007718F0">
        <w:rPr>
          <w:rFonts w:ascii="Arial" w:hAnsi="Arial" w:cs="Arial"/>
        </w:rPr>
        <w:t>FbJJ</w:t>
      </w:r>
      <w:proofErr w:type="spellEnd"/>
      <w:r w:rsidR="007B3794" w:rsidRPr="007718F0">
        <w:rPr>
          <w:rFonts w:ascii="Arial" w:hAnsi="Arial" w:cs="Arial"/>
        </w:rPr>
        <w:t>) (</w:t>
      </w:r>
      <w:hyperlink r:id="rId11" w:history="1">
        <w:r w:rsidR="007B3794" w:rsidRPr="007718F0">
          <w:rPr>
            <w:rStyle w:val="Hyperlink0"/>
            <w:rFonts w:ascii="Arial" w:hAnsi="Arial" w:cs="Arial"/>
          </w:rPr>
          <w:t>http://fbjj.de</w:t>
        </w:r>
      </w:hyperlink>
      <w:r w:rsidR="007B3794" w:rsidRPr="007718F0">
        <w:rPr>
          <w:rFonts w:ascii="Arial" w:hAnsi="Arial" w:cs="Arial"/>
        </w:rPr>
        <w:t>)</w:t>
      </w:r>
    </w:p>
    <w:p w14:paraId="40DAC2EC" w14:textId="77777777" w:rsidR="007B3794" w:rsidRDefault="007B3794" w:rsidP="007B3794"/>
    <w:sectPr w:rsidR="007B3794" w:rsidSect="00463C4A">
      <w:head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ABD1" w14:textId="77777777" w:rsidR="00CB5ED7" w:rsidRDefault="00CB5ED7" w:rsidP="00FD4800">
      <w:pPr>
        <w:spacing w:after="0" w:line="240" w:lineRule="auto"/>
      </w:pPr>
      <w:r>
        <w:separator/>
      </w:r>
    </w:p>
  </w:endnote>
  <w:endnote w:type="continuationSeparator" w:id="0">
    <w:p w14:paraId="1739BBBF" w14:textId="77777777" w:rsidR="00CB5ED7" w:rsidRDefault="00CB5ED7" w:rsidP="00FD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F778" w14:textId="77777777" w:rsidR="00CB5ED7" w:rsidRDefault="00CB5ED7" w:rsidP="00FD4800">
      <w:pPr>
        <w:spacing w:after="0" w:line="240" w:lineRule="auto"/>
      </w:pPr>
      <w:r>
        <w:separator/>
      </w:r>
    </w:p>
  </w:footnote>
  <w:footnote w:type="continuationSeparator" w:id="0">
    <w:p w14:paraId="2B57D48D" w14:textId="77777777" w:rsidR="00CB5ED7" w:rsidRDefault="00CB5ED7" w:rsidP="00FD4800">
      <w:pPr>
        <w:spacing w:after="0" w:line="240" w:lineRule="auto"/>
      </w:pPr>
      <w:r>
        <w:continuationSeparator/>
      </w:r>
    </w:p>
  </w:footnote>
  <w:footnote w:id="1">
    <w:p w14:paraId="72F2C80A" w14:textId="5FF6EBCC" w:rsidR="00FD4800" w:rsidRPr="005D5A5A" w:rsidRDefault="00FD480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D5A5A">
        <w:rPr>
          <w:lang w:val="fr-FR"/>
        </w:rPr>
        <w:t xml:space="preserve"> Vgl. https://www.antidiskriminierungsstelle.de/SharedDocs/downloads/DE/publikationen/Standpunkte/01_Behandlungsvertraege.html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B8C9" w14:textId="667E287D" w:rsidR="004A4B2B" w:rsidRDefault="004A4B2B">
    <w:pPr>
      <w:pStyle w:val="Kopfzeile"/>
    </w:pPr>
    <w:r>
      <w:rPr>
        <w:noProof/>
        <w:lang w:eastAsia="de-DE"/>
      </w:rPr>
      <w:drawing>
        <wp:inline distT="0" distB="0" distL="0" distR="0" wp14:anchorId="21A60911" wp14:editId="01C5EED5">
          <wp:extent cx="5759450" cy="710575"/>
          <wp:effectExtent l="0" t="0" r="0" b="0"/>
          <wp:docPr id="4" name="Grafik 4" descr="Logos der am Runden Tisch Triage beteiligten Einrichtungen: Liga Selbstvertretung, Caritas Behindertenhilfe und Psychiatrie e.V., Forum behinderter Juristinnen und Juri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s der am Runden Tisch Triage beteiligten Einrichtungen: Liga Selbstvertretung, Caritas Behindertenhilfe und Psychiatrie e.V., Forum behinderter Juristinnen und Juri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0929"/>
    <w:multiLevelType w:val="hybridMultilevel"/>
    <w:tmpl w:val="A55AF8BE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11525"/>
    <w:multiLevelType w:val="hybridMultilevel"/>
    <w:tmpl w:val="CF103CA2"/>
    <w:lvl w:ilvl="0" w:tplc="A3186BFE">
      <w:start w:val="1"/>
      <w:numFmt w:val="decimal"/>
      <w:lvlText w:val="(%1)"/>
      <w:lvlJc w:val="left"/>
      <w:pPr>
        <w:ind w:left="643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FE5594E"/>
    <w:multiLevelType w:val="hybridMultilevel"/>
    <w:tmpl w:val="48FEAE36"/>
    <w:lvl w:ilvl="0" w:tplc="848673C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067964">
    <w:abstractNumId w:val="1"/>
  </w:num>
  <w:num w:numId="2" w16cid:durableId="1585802224">
    <w:abstractNumId w:val="2"/>
  </w:num>
  <w:num w:numId="3" w16cid:durableId="50397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0"/>
    <w:rsid w:val="000B365E"/>
    <w:rsid w:val="00113C35"/>
    <w:rsid w:val="0014435D"/>
    <w:rsid w:val="00167C53"/>
    <w:rsid w:val="00260BBE"/>
    <w:rsid w:val="00270BA8"/>
    <w:rsid w:val="00284DA2"/>
    <w:rsid w:val="00320C6F"/>
    <w:rsid w:val="003B5DB9"/>
    <w:rsid w:val="003C55DA"/>
    <w:rsid w:val="003C567F"/>
    <w:rsid w:val="00463C4A"/>
    <w:rsid w:val="004A4B2B"/>
    <w:rsid w:val="004E2513"/>
    <w:rsid w:val="004F7DF7"/>
    <w:rsid w:val="005359A3"/>
    <w:rsid w:val="005D5A5A"/>
    <w:rsid w:val="005F0731"/>
    <w:rsid w:val="00602C34"/>
    <w:rsid w:val="00613410"/>
    <w:rsid w:val="00662960"/>
    <w:rsid w:val="0066415D"/>
    <w:rsid w:val="006A5658"/>
    <w:rsid w:val="007718F0"/>
    <w:rsid w:val="007947EF"/>
    <w:rsid w:val="007B3794"/>
    <w:rsid w:val="00802F3F"/>
    <w:rsid w:val="008167A0"/>
    <w:rsid w:val="00890B22"/>
    <w:rsid w:val="008A6DFB"/>
    <w:rsid w:val="008C279A"/>
    <w:rsid w:val="00B80F87"/>
    <w:rsid w:val="00C445B0"/>
    <w:rsid w:val="00C46545"/>
    <w:rsid w:val="00C66BBE"/>
    <w:rsid w:val="00C66C45"/>
    <w:rsid w:val="00CB5ED7"/>
    <w:rsid w:val="00CE6B95"/>
    <w:rsid w:val="00D22FA4"/>
    <w:rsid w:val="00D53F1D"/>
    <w:rsid w:val="00D82FCC"/>
    <w:rsid w:val="00D930F3"/>
    <w:rsid w:val="00DB4823"/>
    <w:rsid w:val="00EB0FC7"/>
    <w:rsid w:val="00ED10B5"/>
    <w:rsid w:val="00F43E40"/>
    <w:rsid w:val="00F8437F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7EC4"/>
  <w15:chartTrackingRefBased/>
  <w15:docId w15:val="{86FAA7BE-7178-42A6-82A3-61D9E45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2C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DA2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Hyperlink"/>
    <w:rsid w:val="007B3794"/>
    <w:rPr>
      <w:outline w:val="0"/>
      <w:color w:val="0000FF"/>
      <w:u w:val="single" w:color="0000FF"/>
    </w:rPr>
  </w:style>
  <w:style w:type="character" w:styleId="Hyperlink">
    <w:name w:val="Hyperlink"/>
    <w:basedOn w:val="Absatz-Standardschriftart"/>
    <w:uiPriority w:val="99"/>
    <w:semiHidden/>
    <w:unhideWhenUsed/>
    <w:rsid w:val="007B379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6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6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6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6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658"/>
    <w:rPr>
      <w:b/>
      <w:bCs/>
      <w:sz w:val="20"/>
      <w:szCs w:val="20"/>
    </w:rPr>
  </w:style>
  <w:style w:type="paragraph" w:customStyle="1" w:styleId="Default">
    <w:name w:val="Default"/>
    <w:rsid w:val="00ED1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48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48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480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A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B2B"/>
  </w:style>
  <w:style w:type="paragraph" w:styleId="Fuzeile">
    <w:name w:val="footer"/>
    <w:basedOn w:val="Standard"/>
    <w:link w:val="FuzeileZchn"/>
    <w:uiPriority w:val="99"/>
    <w:unhideWhenUsed/>
    <w:rsid w:val="004A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der-tisch-triag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jj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bp.carita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ga-selbstvertretu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6C0C-4E36-4C2E-A143-CC4BE203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JoB-Medienbüro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H.- Günter Heiden</dc:creator>
  <cp:keywords/>
  <dc:description/>
  <cp:lastModifiedBy>Franziska Witzmann</cp:lastModifiedBy>
  <cp:revision>2</cp:revision>
  <cp:lastPrinted>2022-09-03T15:45:00Z</cp:lastPrinted>
  <dcterms:created xsi:type="dcterms:W3CDTF">2022-09-12T06:01:00Z</dcterms:created>
  <dcterms:modified xsi:type="dcterms:W3CDTF">2022-09-12T06:01:00Z</dcterms:modified>
</cp:coreProperties>
</file>